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565B" w:rsidRPr="0092752C" w:rsidRDefault="009B565B" w:rsidP="009B565B">
      <w:pPr>
        <w:suppressLineNumbers/>
        <w:jc w:val="center"/>
        <w:rPr>
          <w:rFonts w:ascii="Times New Roman Bold" w:hAnsi="Times New Roman Bold"/>
          <w:b/>
          <w:sz w:val="24"/>
        </w:rPr>
      </w:pPr>
      <w:bookmarkStart w:id="0" w:name="_GoBack"/>
      <w:bookmarkEnd w:id="0"/>
      <w:r>
        <w:rPr>
          <w:rFonts w:ascii="Times New Roman Bold" w:hAnsi="Times New Roman Bold"/>
          <w:b/>
          <w:sz w:val="24"/>
        </w:rPr>
        <w:t>SOAH DOCKET NO. 473-1</w:t>
      </w:r>
      <w:r w:rsidR="00DC4508">
        <w:rPr>
          <w:rFonts w:ascii="Times New Roman Bold" w:hAnsi="Times New Roman Bold"/>
          <w:b/>
          <w:sz w:val="24"/>
        </w:rPr>
        <w:t>9</w:t>
      </w:r>
      <w:r>
        <w:rPr>
          <w:rFonts w:ascii="Times New Roman Bold" w:hAnsi="Times New Roman Bold"/>
          <w:b/>
          <w:sz w:val="24"/>
        </w:rPr>
        <w:t>-</w:t>
      </w:r>
      <w:r w:rsidR="00DC4508">
        <w:rPr>
          <w:rFonts w:ascii="Times New Roman Bold" w:hAnsi="Times New Roman Bold"/>
          <w:b/>
          <w:sz w:val="24"/>
        </w:rPr>
        <w:t>3864</w:t>
      </w:r>
    </w:p>
    <w:p w:rsidR="00864F76" w:rsidRDefault="00350319" w:rsidP="005C3A86">
      <w:pPr>
        <w:suppressLineNumbers/>
        <w:jc w:val="center"/>
        <w:rPr>
          <w:rFonts w:ascii="Times New Roman Bold" w:hAnsi="Times New Roman Bold"/>
          <w:b/>
          <w:sz w:val="24"/>
        </w:rPr>
      </w:pPr>
      <w:r w:rsidRPr="0092752C">
        <w:rPr>
          <w:rFonts w:ascii="Times New Roman Bold" w:hAnsi="Times New Roman Bold"/>
          <w:b/>
          <w:sz w:val="24"/>
        </w:rPr>
        <w:t xml:space="preserve">PUC DOCKET NO. </w:t>
      </w:r>
      <w:r w:rsidR="003F1CA2">
        <w:rPr>
          <w:rFonts w:ascii="Times New Roman Bold" w:hAnsi="Times New Roman Bold"/>
          <w:b/>
          <w:sz w:val="24"/>
        </w:rPr>
        <w:t>49421</w:t>
      </w:r>
    </w:p>
    <w:p w:rsidR="00B912A1" w:rsidRPr="0092752C" w:rsidRDefault="00B912A1" w:rsidP="005C3A86">
      <w:pPr>
        <w:suppressLineNumbers/>
        <w:jc w:val="center"/>
        <w:rPr>
          <w:rFonts w:ascii="Times New Roman Bold" w:hAnsi="Times New Roman Bold"/>
          <w:b/>
          <w:sz w:val="24"/>
        </w:rPr>
      </w:pPr>
    </w:p>
    <w:p w:rsidR="00C04218" w:rsidRPr="0092752C" w:rsidRDefault="00C04218" w:rsidP="00067639">
      <w:pPr>
        <w:suppressLineNumbers/>
        <w:rPr>
          <w:rFonts w:ascii="Times New Roman Bold" w:hAnsi="Times New Roman Bold"/>
          <w:b/>
          <w:sz w:val="24"/>
        </w:rPr>
      </w:pPr>
    </w:p>
    <w:tbl>
      <w:tblPr>
        <w:tblW w:w="10009" w:type="dxa"/>
        <w:tblLayout w:type="fixed"/>
        <w:tblLook w:val="0000" w:firstRow="0" w:lastRow="0" w:firstColumn="0" w:lastColumn="0" w:noHBand="0" w:noVBand="0"/>
      </w:tblPr>
      <w:tblGrid>
        <w:gridCol w:w="4608"/>
        <w:gridCol w:w="288"/>
        <w:gridCol w:w="5113"/>
      </w:tblGrid>
      <w:tr w:rsidR="00C04218" w:rsidRPr="0092752C" w:rsidTr="00800B77">
        <w:trPr>
          <w:trHeight w:val="2043"/>
        </w:trPr>
        <w:tc>
          <w:tcPr>
            <w:tcW w:w="4608" w:type="dxa"/>
          </w:tcPr>
          <w:p w:rsidR="00E21CF7" w:rsidRDefault="00687707" w:rsidP="00DC4508">
            <w:pPr>
              <w:ind w:right="-468"/>
              <w:rPr>
                <w:rFonts w:ascii="Times New Roman Bold" w:hAnsi="Times New Roman Bold"/>
                <w:b/>
                <w:sz w:val="24"/>
              </w:rPr>
            </w:pPr>
            <w:r>
              <w:rPr>
                <w:rFonts w:ascii="Times New Roman Bold" w:hAnsi="Times New Roman Bold"/>
                <w:b/>
                <w:sz w:val="24"/>
              </w:rPr>
              <w:t xml:space="preserve">APPLICATION OF </w:t>
            </w:r>
            <w:r w:rsidR="00DC4508">
              <w:rPr>
                <w:rFonts w:ascii="Times New Roman Bold" w:hAnsi="Times New Roman Bold"/>
                <w:b/>
                <w:sz w:val="24"/>
              </w:rPr>
              <w:t>CENTERPOINT</w:t>
            </w:r>
          </w:p>
          <w:p w:rsidR="00DC4508" w:rsidRDefault="00DC4508" w:rsidP="00DC4508">
            <w:pPr>
              <w:ind w:right="-468"/>
              <w:rPr>
                <w:rFonts w:ascii="Times New Roman Bold" w:hAnsi="Times New Roman Bold"/>
                <w:b/>
                <w:sz w:val="24"/>
              </w:rPr>
            </w:pPr>
            <w:r>
              <w:rPr>
                <w:rFonts w:ascii="Times New Roman Bold" w:hAnsi="Times New Roman Bold"/>
                <w:b/>
                <w:sz w:val="24"/>
              </w:rPr>
              <w:t>ENERGY HOUSTON ELECTRIC, LLC</w:t>
            </w:r>
          </w:p>
          <w:p w:rsidR="00DC4508" w:rsidRDefault="00DC4508" w:rsidP="00DC4508">
            <w:pPr>
              <w:ind w:right="-468"/>
              <w:rPr>
                <w:rFonts w:ascii="Times New Roman Bold" w:hAnsi="Times New Roman Bold"/>
                <w:b/>
                <w:sz w:val="24"/>
              </w:rPr>
            </w:pPr>
            <w:r>
              <w:rPr>
                <w:rFonts w:ascii="Times New Roman Bold" w:hAnsi="Times New Roman Bold"/>
                <w:b/>
                <w:sz w:val="24"/>
              </w:rPr>
              <w:t>FOR AUTHORITY TO CHANGE</w:t>
            </w:r>
          </w:p>
          <w:p w:rsidR="00DC4508" w:rsidRPr="0092752C" w:rsidRDefault="00DC4508" w:rsidP="00DC4508">
            <w:pPr>
              <w:ind w:right="-468"/>
              <w:rPr>
                <w:rFonts w:ascii="Times New Roman Bold" w:hAnsi="Times New Roman Bold"/>
                <w:b/>
                <w:sz w:val="24"/>
              </w:rPr>
            </w:pPr>
            <w:r>
              <w:rPr>
                <w:rFonts w:ascii="Times New Roman Bold" w:hAnsi="Times New Roman Bold"/>
                <w:b/>
                <w:sz w:val="24"/>
              </w:rPr>
              <w:t>RATES</w:t>
            </w:r>
          </w:p>
          <w:p w:rsidR="002D01D3" w:rsidRPr="0092752C" w:rsidRDefault="002D01D3" w:rsidP="002D01D3">
            <w:pPr>
              <w:ind w:right="-468"/>
              <w:rPr>
                <w:rFonts w:ascii="Times New Roman Bold" w:hAnsi="Times New Roman Bold"/>
                <w:b/>
                <w:sz w:val="24"/>
              </w:rPr>
            </w:pPr>
          </w:p>
        </w:tc>
        <w:tc>
          <w:tcPr>
            <w:tcW w:w="288" w:type="dxa"/>
          </w:tcPr>
          <w:p w:rsidR="00C04218" w:rsidRPr="0092752C" w:rsidRDefault="00C04218" w:rsidP="005C3A86">
            <w:pPr>
              <w:tabs>
                <w:tab w:val="left" w:pos="612"/>
              </w:tabs>
              <w:jc w:val="center"/>
              <w:rPr>
                <w:rFonts w:ascii="Times New Roman Bold" w:hAnsi="Times New Roman Bold"/>
                <w:b/>
                <w:sz w:val="24"/>
              </w:rPr>
            </w:pPr>
            <w:r w:rsidRPr="0092752C">
              <w:rPr>
                <w:rFonts w:ascii="Times New Roman Bold" w:hAnsi="Times New Roman Bold"/>
                <w:b/>
                <w:sz w:val="24"/>
              </w:rPr>
              <w:t>§</w:t>
            </w:r>
          </w:p>
          <w:p w:rsidR="00C04218" w:rsidRPr="0092752C" w:rsidRDefault="00C04218" w:rsidP="005C3A86">
            <w:pPr>
              <w:tabs>
                <w:tab w:val="left" w:pos="612"/>
              </w:tabs>
              <w:jc w:val="center"/>
              <w:rPr>
                <w:rFonts w:ascii="Times New Roman Bold" w:hAnsi="Times New Roman Bold"/>
                <w:b/>
                <w:sz w:val="24"/>
              </w:rPr>
            </w:pPr>
            <w:r w:rsidRPr="0092752C">
              <w:rPr>
                <w:rFonts w:ascii="Times New Roman Bold" w:hAnsi="Times New Roman Bold"/>
                <w:b/>
                <w:sz w:val="24"/>
              </w:rPr>
              <w:t>§</w:t>
            </w:r>
          </w:p>
          <w:p w:rsidR="002D01D3" w:rsidRPr="0092752C" w:rsidRDefault="002D01D3" w:rsidP="002D01D3">
            <w:pPr>
              <w:tabs>
                <w:tab w:val="left" w:pos="612"/>
              </w:tabs>
              <w:jc w:val="center"/>
              <w:rPr>
                <w:rFonts w:ascii="Times New Roman Bold" w:hAnsi="Times New Roman Bold"/>
                <w:b/>
                <w:sz w:val="24"/>
              </w:rPr>
            </w:pPr>
            <w:r w:rsidRPr="0092752C">
              <w:rPr>
                <w:rFonts w:ascii="Times New Roman Bold" w:hAnsi="Times New Roman Bold"/>
                <w:b/>
                <w:sz w:val="24"/>
              </w:rPr>
              <w:t>§</w:t>
            </w:r>
          </w:p>
          <w:p w:rsidR="00E21CF7" w:rsidRPr="0092752C" w:rsidRDefault="00E21CF7" w:rsidP="00E21CF7">
            <w:pPr>
              <w:tabs>
                <w:tab w:val="left" w:pos="612"/>
              </w:tabs>
              <w:jc w:val="center"/>
              <w:rPr>
                <w:rFonts w:ascii="Times New Roman Bold" w:hAnsi="Times New Roman Bold"/>
                <w:b/>
                <w:sz w:val="24"/>
              </w:rPr>
            </w:pPr>
            <w:r w:rsidRPr="0092752C">
              <w:rPr>
                <w:rFonts w:ascii="Times New Roman Bold" w:hAnsi="Times New Roman Bold"/>
                <w:b/>
                <w:sz w:val="24"/>
              </w:rPr>
              <w:t>§</w:t>
            </w:r>
          </w:p>
          <w:p w:rsidR="00E21CF7" w:rsidRPr="0092752C" w:rsidRDefault="00E21CF7" w:rsidP="00E21CF7">
            <w:pPr>
              <w:tabs>
                <w:tab w:val="left" w:pos="612"/>
              </w:tabs>
              <w:jc w:val="center"/>
              <w:rPr>
                <w:rFonts w:ascii="Times New Roman Bold" w:hAnsi="Times New Roman Bold"/>
                <w:b/>
                <w:sz w:val="24"/>
              </w:rPr>
            </w:pPr>
            <w:r w:rsidRPr="0092752C">
              <w:rPr>
                <w:rFonts w:ascii="Times New Roman Bold" w:hAnsi="Times New Roman Bold"/>
                <w:b/>
                <w:sz w:val="24"/>
              </w:rPr>
              <w:t>§</w:t>
            </w:r>
          </w:p>
          <w:p w:rsidR="00ED24BA" w:rsidRDefault="00ED24BA" w:rsidP="002D01D3">
            <w:pPr>
              <w:tabs>
                <w:tab w:val="left" w:pos="612"/>
              </w:tabs>
              <w:jc w:val="center"/>
              <w:rPr>
                <w:rFonts w:ascii="Times New Roman Bold" w:hAnsi="Times New Roman Bold"/>
                <w:b/>
                <w:sz w:val="24"/>
              </w:rPr>
            </w:pPr>
          </w:p>
          <w:p w:rsidR="00ED24BA" w:rsidRPr="0092752C" w:rsidRDefault="00ED24BA" w:rsidP="002D01D3">
            <w:pPr>
              <w:tabs>
                <w:tab w:val="left" w:pos="612"/>
              </w:tabs>
              <w:jc w:val="center"/>
              <w:rPr>
                <w:rFonts w:ascii="Times New Roman Bold" w:hAnsi="Times New Roman Bold"/>
                <w:b/>
                <w:sz w:val="24"/>
              </w:rPr>
            </w:pPr>
          </w:p>
          <w:p w:rsidR="00591495" w:rsidRPr="0092752C" w:rsidRDefault="00591495" w:rsidP="00C95A76">
            <w:pPr>
              <w:jc w:val="center"/>
              <w:rPr>
                <w:rFonts w:ascii="Times New Roman Bold" w:hAnsi="Times New Roman Bold"/>
                <w:b/>
                <w:sz w:val="24"/>
              </w:rPr>
            </w:pPr>
          </w:p>
        </w:tc>
        <w:tc>
          <w:tcPr>
            <w:tcW w:w="5113" w:type="dxa"/>
          </w:tcPr>
          <w:p w:rsidR="002D01D3" w:rsidRDefault="002D01D3" w:rsidP="00E21CF7">
            <w:pPr>
              <w:pStyle w:val="Heading6"/>
              <w:ind w:left="0" w:right="0"/>
              <w:jc w:val="center"/>
              <w:rPr>
                <w:rFonts w:ascii="Times New Roman Bold" w:hAnsi="Times New Roman Bold"/>
              </w:rPr>
            </w:pPr>
            <w:r>
              <w:rPr>
                <w:rFonts w:ascii="Times New Roman Bold" w:hAnsi="Times New Roman Bold"/>
              </w:rPr>
              <w:t xml:space="preserve">BEFORE THE </w:t>
            </w:r>
            <w:r w:rsidR="00AC4042">
              <w:rPr>
                <w:rFonts w:ascii="Times New Roman Bold" w:hAnsi="Times New Roman Bold"/>
              </w:rPr>
              <w:t>STATE OFFICE</w:t>
            </w:r>
          </w:p>
          <w:p w:rsidR="00E21CF7" w:rsidRDefault="00E21CF7" w:rsidP="00E21CF7">
            <w:pPr>
              <w:pStyle w:val="Heading6"/>
              <w:ind w:left="0" w:right="0"/>
              <w:jc w:val="center"/>
              <w:rPr>
                <w:rFonts w:ascii="Times New Roman Bold" w:hAnsi="Times New Roman Bold"/>
              </w:rPr>
            </w:pPr>
          </w:p>
          <w:p w:rsidR="00350319" w:rsidRDefault="00C95A76" w:rsidP="00E21CF7">
            <w:pPr>
              <w:pStyle w:val="Heading6"/>
              <w:ind w:left="0" w:right="0"/>
              <w:jc w:val="center"/>
              <w:rPr>
                <w:rFonts w:ascii="Times New Roman Bold" w:hAnsi="Times New Roman Bold"/>
              </w:rPr>
            </w:pPr>
            <w:r>
              <w:rPr>
                <w:rFonts w:ascii="Times New Roman Bold" w:hAnsi="Times New Roman Bold"/>
              </w:rPr>
              <w:t xml:space="preserve"> OF</w:t>
            </w:r>
          </w:p>
          <w:p w:rsidR="00E21CF7" w:rsidRPr="00E21CF7" w:rsidRDefault="00E21CF7" w:rsidP="00E21CF7">
            <w:pPr>
              <w:jc w:val="center"/>
            </w:pPr>
          </w:p>
          <w:p w:rsidR="00CE45A1" w:rsidRPr="00400E05" w:rsidRDefault="00AC4042" w:rsidP="00E21CF7">
            <w:pPr>
              <w:jc w:val="center"/>
              <w:rPr>
                <w:b/>
                <w:sz w:val="24"/>
                <w:szCs w:val="24"/>
              </w:rPr>
            </w:pPr>
            <w:r>
              <w:rPr>
                <w:b/>
                <w:sz w:val="24"/>
                <w:szCs w:val="24"/>
              </w:rPr>
              <w:t>ADMINISTRATIVE HEARINGS</w:t>
            </w:r>
          </w:p>
        </w:tc>
      </w:tr>
    </w:tbl>
    <w:p w:rsidR="00C04218" w:rsidRPr="0092752C" w:rsidRDefault="007C7E81" w:rsidP="008E0450">
      <w:pPr>
        <w:suppressLineNumbers/>
        <w:jc w:val="center"/>
        <w:rPr>
          <w:rFonts w:ascii="Arial" w:hAnsi="Arial"/>
          <w:b/>
        </w:rPr>
      </w:pPr>
      <w:r w:rsidRPr="0092752C">
        <w:object w:dxaOrig="6263" w:dyaOrig="5784" w14:anchorId="0FB7A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4in" o:ole="" fillcolor="window">
            <v:imagedata r:id="rId8" o:title=""/>
          </v:shape>
          <o:OLEObject Type="Embed" ProgID="CorelPhotoPaint.Image.8" ShapeID="_x0000_i1025" DrawAspect="Content" ObjectID="_1622441275" r:id="rId9"/>
        </w:object>
      </w:r>
    </w:p>
    <w:p w:rsidR="00ED24BA" w:rsidRDefault="00ED24BA" w:rsidP="005C3A86">
      <w:pPr>
        <w:suppressLineNumbers/>
        <w:spacing w:line="480" w:lineRule="auto"/>
        <w:jc w:val="center"/>
        <w:rPr>
          <w:b/>
          <w:sz w:val="24"/>
          <w:szCs w:val="24"/>
        </w:rPr>
      </w:pPr>
    </w:p>
    <w:p w:rsidR="005F1982" w:rsidRDefault="005F1982" w:rsidP="005C3A86">
      <w:pPr>
        <w:suppressLineNumbers/>
        <w:spacing w:line="480" w:lineRule="auto"/>
        <w:jc w:val="center"/>
        <w:rPr>
          <w:b/>
          <w:sz w:val="24"/>
          <w:szCs w:val="24"/>
        </w:rPr>
      </w:pPr>
    </w:p>
    <w:p w:rsidR="00C04218" w:rsidRPr="00CC3CAD" w:rsidRDefault="00453645" w:rsidP="005C3A86">
      <w:pPr>
        <w:suppressLineNumbers/>
        <w:spacing w:line="480" w:lineRule="auto"/>
        <w:jc w:val="center"/>
        <w:rPr>
          <w:b/>
          <w:sz w:val="24"/>
          <w:szCs w:val="24"/>
        </w:rPr>
      </w:pPr>
      <w:r>
        <w:rPr>
          <w:b/>
          <w:sz w:val="24"/>
          <w:szCs w:val="24"/>
        </w:rPr>
        <w:t>CROSS-REBUTTAL</w:t>
      </w:r>
      <w:r w:rsidR="00C04218" w:rsidRPr="00CC3CAD">
        <w:rPr>
          <w:b/>
          <w:sz w:val="24"/>
          <w:szCs w:val="24"/>
        </w:rPr>
        <w:t xml:space="preserve"> TESTIMONY</w:t>
      </w:r>
      <w:r w:rsidR="007A6EA9">
        <w:rPr>
          <w:b/>
          <w:sz w:val="24"/>
          <w:szCs w:val="24"/>
        </w:rPr>
        <w:t xml:space="preserve"> </w:t>
      </w:r>
      <w:r w:rsidR="004A197F">
        <w:rPr>
          <w:b/>
          <w:sz w:val="24"/>
          <w:szCs w:val="24"/>
        </w:rPr>
        <w:t xml:space="preserve">AND WORKPAPERS </w:t>
      </w:r>
      <w:r w:rsidR="007A6EA9">
        <w:rPr>
          <w:b/>
          <w:sz w:val="24"/>
          <w:szCs w:val="24"/>
        </w:rPr>
        <w:t>OF</w:t>
      </w:r>
    </w:p>
    <w:p w:rsidR="00067639" w:rsidRDefault="004440CC" w:rsidP="005C3A86">
      <w:pPr>
        <w:suppressLineNumbers/>
        <w:spacing w:line="480" w:lineRule="auto"/>
        <w:jc w:val="center"/>
        <w:rPr>
          <w:b/>
          <w:sz w:val="24"/>
          <w:szCs w:val="24"/>
        </w:rPr>
      </w:pPr>
      <w:r w:rsidRPr="00CC3CAD">
        <w:rPr>
          <w:b/>
          <w:sz w:val="24"/>
          <w:szCs w:val="24"/>
        </w:rPr>
        <w:t>WILLIAM B. ABBOTT</w:t>
      </w:r>
    </w:p>
    <w:p w:rsidR="00CB58A1" w:rsidRPr="00CC3CAD" w:rsidRDefault="00CB58A1" w:rsidP="005C3A86">
      <w:pPr>
        <w:suppressLineNumbers/>
        <w:spacing w:line="480" w:lineRule="auto"/>
        <w:jc w:val="center"/>
        <w:rPr>
          <w:rFonts w:ascii="Times New Roman Bold" w:hAnsi="Times New Roman Bold"/>
          <w:b/>
          <w:sz w:val="24"/>
        </w:rPr>
      </w:pPr>
      <w:r w:rsidRPr="00CC3CAD">
        <w:rPr>
          <w:rFonts w:ascii="Times New Roman Bold" w:hAnsi="Times New Roman Bold"/>
          <w:b/>
          <w:sz w:val="24"/>
        </w:rPr>
        <w:t>RATE REGULATION DIVISION</w:t>
      </w:r>
    </w:p>
    <w:p w:rsidR="00C04218" w:rsidRPr="00CC3CAD" w:rsidRDefault="00C04218" w:rsidP="005C3A86">
      <w:pPr>
        <w:suppressLineNumbers/>
        <w:spacing w:line="480" w:lineRule="auto"/>
        <w:jc w:val="center"/>
        <w:rPr>
          <w:rFonts w:ascii="Times New Roman Bold" w:hAnsi="Times New Roman Bold"/>
          <w:b/>
          <w:sz w:val="24"/>
        </w:rPr>
      </w:pPr>
      <w:r w:rsidRPr="00CC3CAD">
        <w:rPr>
          <w:rFonts w:ascii="Times New Roman Bold" w:hAnsi="Times New Roman Bold"/>
          <w:b/>
          <w:sz w:val="24"/>
        </w:rPr>
        <w:t>PUBLIC UTILITY COMMISSION OF TEXAS</w:t>
      </w:r>
    </w:p>
    <w:p w:rsidR="00952B96" w:rsidRPr="00CC3CAD" w:rsidRDefault="00DC4508" w:rsidP="005C3A86">
      <w:pPr>
        <w:suppressLineNumbers/>
        <w:spacing w:line="480" w:lineRule="auto"/>
        <w:jc w:val="center"/>
        <w:rPr>
          <w:rFonts w:ascii="Times New Roman Bold" w:hAnsi="Times New Roman Bold"/>
          <w:b/>
          <w:sz w:val="24"/>
        </w:rPr>
      </w:pPr>
      <w:r>
        <w:rPr>
          <w:rFonts w:ascii="Times New Roman Bold" w:hAnsi="Times New Roman Bold"/>
          <w:b/>
          <w:sz w:val="24"/>
        </w:rPr>
        <w:t>JUNE 1</w:t>
      </w:r>
      <w:r w:rsidR="00453645">
        <w:rPr>
          <w:rFonts w:ascii="Times New Roman Bold" w:hAnsi="Times New Roman Bold"/>
          <w:b/>
          <w:sz w:val="24"/>
        </w:rPr>
        <w:t>9</w:t>
      </w:r>
      <w:r>
        <w:rPr>
          <w:rFonts w:ascii="Times New Roman Bold" w:hAnsi="Times New Roman Bold"/>
          <w:b/>
          <w:sz w:val="24"/>
        </w:rPr>
        <w:t>, 2019</w:t>
      </w:r>
    </w:p>
    <w:p w:rsidR="00C2348D" w:rsidRPr="00CC3CAD" w:rsidRDefault="00C2348D" w:rsidP="006C27CF">
      <w:pPr>
        <w:suppressLineNumbers/>
        <w:spacing w:line="480" w:lineRule="auto"/>
        <w:rPr>
          <w:b/>
          <w:sz w:val="24"/>
          <w:szCs w:val="24"/>
        </w:rPr>
      </w:pPr>
    </w:p>
    <w:p w:rsidR="004046C6" w:rsidRDefault="004046C6" w:rsidP="005C3A86">
      <w:pPr>
        <w:suppressLineNumbers/>
        <w:spacing w:line="480" w:lineRule="auto"/>
        <w:jc w:val="center"/>
        <w:rPr>
          <w:b/>
          <w:sz w:val="24"/>
          <w:szCs w:val="24"/>
        </w:rPr>
      </w:pPr>
    </w:p>
    <w:p w:rsidR="00C04218" w:rsidRPr="00CC3CAD" w:rsidRDefault="00C04218" w:rsidP="005C3A86">
      <w:pPr>
        <w:suppressLineNumbers/>
        <w:spacing w:line="480" w:lineRule="auto"/>
        <w:jc w:val="center"/>
        <w:rPr>
          <w:b/>
          <w:sz w:val="24"/>
          <w:szCs w:val="24"/>
        </w:rPr>
      </w:pPr>
      <w:r w:rsidRPr="00CC3CAD">
        <w:rPr>
          <w:b/>
          <w:sz w:val="24"/>
          <w:szCs w:val="24"/>
        </w:rPr>
        <w:t>TABLE OF CONTENTS</w:t>
      </w:r>
    </w:p>
    <w:p w:rsidR="00C2348D" w:rsidRPr="00967D7B" w:rsidRDefault="00C2348D" w:rsidP="005C3A86">
      <w:pPr>
        <w:suppressLineNumbers/>
        <w:spacing w:line="480" w:lineRule="auto"/>
        <w:jc w:val="center"/>
        <w:rPr>
          <w:b/>
          <w:sz w:val="24"/>
          <w:szCs w:val="24"/>
        </w:rPr>
      </w:pPr>
    </w:p>
    <w:sdt>
      <w:sdtPr>
        <w:rPr>
          <w:b/>
          <w:bCs/>
          <w:noProof w:val="0"/>
          <w:sz w:val="24"/>
          <w:szCs w:val="24"/>
        </w:rPr>
        <w:id w:val="215546039"/>
        <w:docPartObj>
          <w:docPartGallery w:val="Table of Contents"/>
          <w:docPartUnique/>
        </w:docPartObj>
      </w:sdtPr>
      <w:sdtEndPr>
        <w:rPr>
          <w:bCs w:val="0"/>
          <w:sz w:val="20"/>
          <w:szCs w:val="20"/>
        </w:rPr>
      </w:sdtEndPr>
      <w:sdtContent>
        <w:p w:rsidR="00E556F1" w:rsidRPr="00E556F1" w:rsidRDefault="00412024">
          <w:pPr>
            <w:pStyle w:val="TOC1"/>
            <w:rPr>
              <w:rFonts w:eastAsiaTheme="minorEastAsia"/>
              <w:b/>
              <w:sz w:val="22"/>
              <w:szCs w:val="22"/>
            </w:rPr>
          </w:pPr>
          <w:r w:rsidRPr="00E83B78">
            <w:rPr>
              <w:b/>
              <w:sz w:val="24"/>
              <w:szCs w:val="24"/>
            </w:rPr>
            <w:fldChar w:fldCharType="begin"/>
          </w:r>
          <w:r w:rsidRPr="00E83B78">
            <w:rPr>
              <w:b/>
              <w:sz w:val="24"/>
              <w:szCs w:val="24"/>
            </w:rPr>
            <w:instrText xml:space="preserve"> TOC \o "1-3" \h \z \u </w:instrText>
          </w:r>
          <w:r w:rsidRPr="00E83B78">
            <w:rPr>
              <w:b/>
              <w:sz w:val="24"/>
              <w:szCs w:val="24"/>
            </w:rPr>
            <w:fldChar w:fldCharType="separate"/>
          </w:r>
          <w:hyperlink w:anchor="_Toc11826694" w:history="1">
            <w:r w:rsidR="00E556F1" w:rsidRPr="00E556F1">
              <w:rPr>
                <w:rStyle w:val="Hyperlink"/>
                <w:b/>
              </w:rPr>
              <w:t>I.</w:t>
            </w:r>
            <w:r w:rsidR="00E556F1" w:rsidRPr="00E556F1">
              <w:rPr>
                <w:rFonts w:eastAsiaTheme="minorEastAsia"/>
                <w:b/>
                <w:sz w:val="22"/>
                <w:szCs w:val="22"/>
              </w:rPr>
              <w:tab/>
            </w:r>
            <w:r w:rsidR="00E556F1" w:rsidRPr="00E556F1">
              <w:rPr>
                <w:rStyle w:val="Hyperlink"/>
                <w:b/>
              </w:rPr>
              <w:t>PROFESSIONAL QUALIFICATIONS</w:t>
            </w:r>
            <w:r w:rsidR="00E556F1" w:rsidRPr="00E556F1">
              <w:rPr>
                <w:b/>
                <w:webHidden/>
              </w:rPr>
              <w:tab/>
            </w:r>
            <w:r w:rsidR="00E556F1" w:rsidRPr="00E556F1">
              <w:rPr>
                <w:b/>
                <w:webHidden/>
              </w:rPr>
              <w:fldChar w:fldCharType="begin"/>
            </w:r>
            <w:r w:rsidR="00E556F1" w:rsidRPr="00E556F1">
              <w:rPr>
                <w:b/>
                <w:webHidden/>
              </w:rPr>
              <w:instrText xml:space="preserve"> PAGEREF _Toc11826694 \h </w:instrText>
            </w:r>
            <w:r w:rsidR="00E556F1" w:rsidRPr="00E556F1">
              <w:rPr>
                <w:b/>
                <w:webHidden/>
              </w:rPr>
            </w:r>
            <w:r w:rsidR="00E556F1" w:rsidRPr="00E556F1">
              <w:rPr>
                <w:b/>
                <w:webHidden/>
              </w:rPr>
              <w:fldChar w:fldCharType="separate"/>
            </w:r>
            <w:r w:rsidR="00366729">
              <w:rPr>
                <w:b/>
                <w:webHidden/>
              </w:rPr>
              <w:t>2</w:t>
            </w:r>
            <w:r w:rsidR="00E556F1" w:rsidRPr="00E556F1">
              <w:rPr>
                <w:b/>
                <w:webHidden/>
              </w:rPr>
              <w:fldChar w:fldCharType="end"/>
            </w:r>
          </w:hyperlink>
        </w:p>
        <w:p w:rsidR="00E556F1" w:rsidRPr="00E556F1" w:rsidRDefault="00E45BA8">
          <w:pPr>
            <w:pStyle w:val="TOC1"/>
            <w:rPr>
              <w:rFonts w:eastAsiaTheme="minorEastAsia"/>
              <w:b/>
              <w:sz w:val="22"/>
              <w:szCs w:val="22"/>
            </w:rPr>
          </w:pPr>
          <w:hyperlink w:anchor="_Toc11826695" w:history="1">
            <w:r w:rsidR="00E556F1" w:rsidRPr="00E556F1">
              <w:rPr>
                <w:rStyle w:val="Hyperlink"/>
                <w:b/>
              </w:rPr>
              <w:t>II.</w:t>
            </w:r>
            <w:r w:rsidR="00E556F1" w:rsidRPr="00E556F1">
              <w:rPr>
                <w:rFonts w:eastAsiaTheme="minorEastAsia"/>
                <w:b/>
                <w:sz w:val="22"/>
                <w:szCs w:val="22"/>
              </w:rPr>
              <w:tab/>
            </w:r>
            <w:r w:rsidR="00E556F1" w:rsidRPr="00E556F1">
              <w:rPr>
                <w:rStyle w:val="Hyperlink"/>
                <w:b/>
              </w:rPr>
              <w:t>PURPOSE AND SCOPE OF TESTIMONY</w:t>
            </w:r>
            <w:r w:rsidR="00E556F1" w:rsidRPr="00E556F1">
              <w:rPr>
                <w:b/>
                <w:webHidden/>
              </w:rPr>
              <w:tab/>
            </w:r>
            <w:r w:rsidR="00E556F1" w:rsidRPr="00E556F1">
              <w:rPr>
                <w:b/>
                <w:webHidden/>
              </w:rPr>
              <w:fldChar w:fldCharType="begin"/>
            </w:r>
            <w:r w:rsidR="00E556F1" w:rsidRPr="00E556F1">
              <w:rPr>
                <w:b/>
                <w:webHidden/>
              </w:rPr>
              <w:instrText xml:space="preserve"> PAGEREF _Toc11826695 \h </w:instrText>
            </w:r>
            <w:r w:rsidR="00E556F1" w:rsidRPr="00E556F1">
              <w:rPr>
                <w:b/>
                <w:webHidden/>
              </w:rPr>
            </w:r>
            <w:r w:rsidR="00E556F1" w:rsidRPr="00E556F1">
              <w:rPr>
                <w:b/>
                <w:webHidden/>
              </w:rPr>
              <w:fldChar w:fldCharType="separate"/>
            </w:r>
            <w:r w:rsidR="00366729">
              <w:rPr>
                <w:b/>
                <w:webHidden/>
              </w:rPr>
              <w:t>3</w:t>
            </w:r>
            <w:r w:rsidR="00E556F1" w:rsidRPr="00E556F1">
              <w:rPr>
                <w:b/>
                <w:webHidden/>
              </w:rPr>
              <w:fldChar w:fldCharType="end"/>
            </w:r>
          </w:hyperlink>
        </w:p>
        <w:p w:rsidR="00E556F1" w:rsidRPr="00E556F1" w:rsidRDefault="00E45BA8">
          <w:pPr>
            <w:pStyle w:val="TOC1"/>
            <w:rPr>
              <w:rFonts w:eastAsiaTheme="minorEastAsia"/>
              <w:b/>
              <w:sz w:val="22"/>
              <w:szCs w:val="22"/>
            </w:rPr>
          </w:pPr>
          <w:hyperlink w:anchor="_Toc11826696" w:history="1">
            <w:r w:rsidR="00E556F1" w:rsidRPr="00E556F1">
              <w:rPr>
                <w:rStyle w:val="Hyperlink"/>
                <w:b/>
              </w:rPr>
              <w:t>III.</w:t>
            </w:r>
            <w:r w:rsidR="00E556F1" w:rsidRPr="00E556F1">
              <w:rPr>
                <w:rFonts w:eastAsiaTheme="minorEastAsia"/>
                <w:b/>
                <w:sz w:val="22"/>
                <w:szCs w:val="22"/>
              </w:rPr>
              <w:tab/>
            </w:r>
            <w:r w:rsidR="00E556F1" w:rsidRPr="00E556F1">
              <w:rPr>
                <w:rStyle w:val="Hyperlink"/>
                <w:b/>
              </w:rPr>
              <w:t>SUMMARY OF RECOMMENDATIONS</w:t>
            </w:r>
            <w:r w:rsidR="00E556F1" w:rsidRPr="00E556F1">
              <w:rPr>
                <w:b/>
                <w:webHidden/>
              </w:rPr>
              <w:tab/>
            </w:r>
            <w:r w:rsidR="00E556F1" w:rsidRPr="00E556F1">
              <w:rPr>
                <w:b/>
                <w:webHidden/>
              </w:rPr>
              <w:fldChar w:fldCharType="begin"/>
            </w:r>
            <w:r w:rsidR="00E556F1" w:rsidRPr="00E556F1">
              <w:rPr>
                <w:b/>
                <w:webHidden/>
              </w:rPr>
              <w:instrText xml:space="preserve"> PAGEREF _Toc11826696 \h </w:instrText>
            </w:r>
            <w:r w:rsidR="00E556F1" w:rsidRPr="00E556F1">
              <w:rPr>
                <w:b/>
                <w:webHidden/>
              </w:rPr>
            </w:r>
            <w:r w:rsidR="00E556F1" w:rsidRPr="00E556F1">
              <w:rPr>
                <w:b/>
                <w:webHidden/>
              </w:rPr>
              <w:fldChar w:fldCharType="separate"/>
            </w:r>
            <w:r w:rsidR="00366729">
              <w:rPr>
                <w:b/>
                <w:webHidden/>
              </w:rPr>
              <w:t>6</w:t>
            </w:r>
            <w:r w:rsidR="00E556F1" w:rsidRPr="00E556F1">
              <w:rPr>
                <w:b/>
                <w:webHidden/>
              </w:rPr>
              <w:fldChar w:fldCharType="end"/>
            </w:r>
          </w:hyperlink>
        </w:p>
        <w:p w:rsidR="00E556F1" w:rsidRPr="00E556F1" w:rsidRDefault="00E45BA8">
          <w:pPr>
            <w:pStyle w:val="TOC1"/>
            <w:rPr>
              <w:rFonts w:eastAsiaTheme="minorEastAsia"/>
              <w:b/>
              <w:sz w:val="22"/>
              <w:szCs w:val="22"/>
            </w:rPr>
          </w:pPr>
          <w:hyperlink w:anchor="_Toc11826697" w:history="1">
            <w:r w:rsidR="00E556F1" w:rsidRPr="00E556F1">
              <w:rPr>
                <w:rStyle w:val="Hyperlink"/>
                <w:b/>
              </w:rPr>
              <w:t>IV.</w:t>
            </w:r>
            <w:r w:rsidR="00E556F1" w:rsidRPr="00E556F1">
              <w:rPr>
                <w:rFonts w:eastAsiaTheme="minorEastAsia"/>
                <w:b/>
                <w:sz w:val="22"/>
                <w:szCs w:val="22"/>
              </w:rPr>
              <w:tab/>
            </w:r>
            <w:r w:rsidR="00E556F1" w:rsidRPr="00E556F1">
              <w:rPr>
                <w:rStyle w:val="Hyperlink"/>
                <w:b/>
              </w:rPr>
              <w:t>SUMMARY OF THE VARIOUS “4CP” ISSUES RAISED BY PARTIES</w:t>
            </w:r>
            <w:r w:rsidR="00E556F1" w:rsidRPr="00E556F1">
              <w:rPr>
                <w:b/>
                <w:webHidden/>
              </w:rPr>
              <w:tab/>
            </w:r>
            <w:r w:rsidR="00E556F1" w:rsidRPr="00E556F1">
              <w:rPr>
                <w:b/>
                <w:webHidden/>
              </w:rPr>
              <w:fldChar w:fldCharType="begin"/>
            </w:r>
            <w:r w:rsidR="00E556F1" w:rsidRPr="00E556F1">
              <w:rPr>
                <w:b/>
                <w:webHidden/>
              </w:rPr>
              <w:instrText xml:space="preserve"> PAGEREF _Toc11826697 \h </w:instrText>
            </w:r>
            <w:r w:rsidR="00E556F1" w:rsidRPr="00E556F1">
              <w:rPr>
                <w:b/>
                <w:webHidden/>
              </w:rPr>
            </w:r>
            <w:r w:rsidR="00E556F1" w:rsidRPr="00E556F1">
              <w:rPr>
                <w:b/>
                <w:webHidden/>
              </w:rPr>
              <w:fldChar w:fldCharType="separate"/>
            </w:r>
            <w:r w:rsidR="00366729">
              <w:rPr>
                <w:b/>
                <w:webHidden/>
              </w:rPr>
              <w:t>7</w:t>
            </w:r>
            <w:r w:rsidR="00E556F1" w:rsidRPr="00E556F1">
              <w:rPr>
                <w:b/>
                <w:webHidden/>
              </w:rPr>
              <w:fldChar w:fldCharType="end"/>
            </w:r>
          </w:hyperlink>
        </w:p>
        <w:p w:rsidR="00E556F1" w:rsidRPr="00E556F1" w:rsidRDefault="00E45BA8">
          <w:pPr>
            <w:pStyle w:val="TOC1"/>
            <w:rPr>
              <w:rFonts w:eastAsiaTheme="minorEastAsia"/>
              <w:b/>
              <w:sz w:val="22"/>
              <w:szCs w:val="22"/>
            </w:rPr>
          </w:pPr>
          <w:hyperlink w:anchor="_Toc11826698" w:history="1">
            <w:r w:rsidR="00E556F1" w:rsidRPr="00E556F1">
              <w:rPr>
                <w:rStyle w:val="Hyperlink"/>
                <w:b/>
              </w:rPr>
              <w:t>V.</w:t>
            </w:r>
            <w:r w:rsidR="00E556F1" w:rsidRPr="00E556F1">
              <w:rPr>
                <w:rFonts w:eastAsiaTheme="minorEastAsia"/>
                <w:b/>
                <w:sz w:val="22"/>
                <w:szCs w:val="22"/>
              </w:rPr>
              <w:tab/>
            </w:r>
            <w:r w:rsidR="00E556F1" w:rsidRPr="00E556F1">
              <w:rPr>
                <w:rStyle w:val="Hyperlink"/>
                <w:b/>
              </w:rPr>
              <w:t>RESPONSE TO TIEC WITNESS JEFFRY POLLOCK</w:t>
            </w:r>
            <w:r w:rsidR="00E556F1" w:rsidRPr="00E556F1">
              <w:rPr>
                <w:b/>
                <w:webHidden/>
              </w:rPr>
              <w:tab/>
            </w:r>
            <w:r w:rsidR="00E556F1" w:rsidRPr="00E556F1">
              <w:rPr>
                <w:b/>
                <w:webHidden/>
              </w:rPr>
              <w:fldChar w:fldCharType="begin"/>
            </w:r>
            <w:r w:rsidR="00E556F1" w:rsidRPr="00E556F1">
              <w:rPr>
                <w:b/>
                <w:webHidden/>
              </w:rPr>
              <w:instrText xml:space="preserve"> PAGEREF _Toc11826698 \h </w:instrText>
            </w:r>
            <w:r w:rsidR="00E556F1" w:rsidRPr="00E556F1">
              <w:rPr>
                <w:b/>
                <w:webHidden/>
              </w:rPr>
            </w:r>
            <w:r w:rsidR="00E556F1" w:rsidRPr="00E556F1">
              <w:rPr>
                <w:b/>
                <w:webHidden/>
              </w:rPr>
              <w:fldChar w:fldCharType="separate"/>
            </w:r>
            <w:r w:rsidR="00366729">
              <w:rPr>
                <w:b/>
                <w:webHidden/>
              </w:rPr>
              <w:t>10</w:t>
            </w:r>
            <w:r w:rsidR="00E556F1" w:rsidRPr="00E556F1">
              <w:rPr>
                <w:b/>
                <w:webHidden/>
              </w:rPr>
              <w:fldChar w:fldCharType="end"/>
            </w:r>
          </w:hyperlink>
        </w:p>
        <w:p w:rsidR="00E556F1" w:rsidRPr="00E556F1" w:rsidRDefault="00E45BA8">
          <w:pPr>
            <w:pStyle w:val="TOC2"/>
            <w:rPr>
              <w:rFonts w:ascii="Times New Roman" w:hAnsi="Times New Roman" w:cs="Times New Roman"/>
              <w:b/>
              <w:noProof/>
              <w:lang w:eastAsia="en-US"/>
            </w:rPr>
          </w:pPr>
          <w:hyperlink w:anchor="_Toc11826699" w:history="1">
            <w:r w:rsidR="00E556F1" w:rsidRPr="00E556F1">
              <w:rPr>
                <w:rStyle w:val="Hyperlink"/>
                <w:rFonts w:ascii="Times New Roman" w:hAnsi="Times New Roman" w:cs="Times New Roman"/>
                <w:b/>
                <w:noProof/>
              </w:rPr>
              <w:t>Class Revenue Distribution and Ratemaking Background</w:t>
            </w:r>
            <w:r w:rsidR="00E556F1" w:rsidRPr="00E556F1">
              <w:rPr>
                <w:rFonts w:ascii="Times New Roman" w:hAnsi="Times New Roman" w:cs="Times New Roman"/>
                <w:b/>
                <w:noProof/>
                <w:webHidden/>
              </w:rPr>
              <w:tab/>
            </w:r>
            <w:r w:rsidR="00E556F1" w:rsidRPr="00E556F1">
              <w:rPr>
                <w:rFonts w:ascii="Times New Roman" w:hAnsi="Times New Roman" w:cs="Times New Roman"/>
                <w:b/>
                <w:noProof/>
                <w:webHidden/>
              </w:rPr>
              <w:fldChar w:fldCharType="begin"/>
            </w:r>
            <w:r w:rsidR="00E556F1" w:rsidRPr="00E556F1">
              <w:rPr>
                <w:rFonts w:ascii="Times New Roman" w:hAnsi="Times New Roman" w:cs="Times New Roman"/>
                <w:b/>
                <w:noProof/>
                <w:webHidden/>
              </w:rPr>
              <w:instrText xml:space="preserve"> PAGEREF _Toc11826699 \h </w:instrText>
            </w:r>
            <w:r w:rsidR="00E556F1" w:rsidRPr="00E556F1">
              <w:rPr>
                <w:rFonts w:ascii="Times New Roman" w:hAnsi="Times New Roman" w:cs="Times New Roman"/>
                <w:b/>
                <w:noProof/>
                <w:webHidden/>
              </w:rPr>
            </w:r>
            <w:r w:rsidR="00E556F1" w:rsidRPr="00E556F1">
              <w:rPr>
                <w:rFonts w:ascii="Times New Roman" w:hAnsi="Times New Roman" w:cs="Times New Roman"/>
                <w:b/>
                <w:noProof/>
                <w:webHidden/>
              </w:rPr>
              <w:fldChar w:fldCharType="separate"/>
            </w:r>
            <w:r w:rsidR="00366729">
              <w:rPr>
                <w:rFonts w:ascii="Times New Roman" w:hAnsi="Times New Roman" w:cs="Times New Roman"/>
                <w:b/>
                <w:noProof/>
                <w:webHidden/>
              </w:rPr>
              <w:t>10</w:t>
            </w:r>
            <w:r w:rsidR="00E556F1" w:rsidRPr="00E556F1">
              <w:rPr>
                <w:rFonts w:ascii="Times New Roman" w:hAnsi="Times New Roman" w:cs="Times New Roman"/>
                <w:b/>
                <w:noProof/>
                <w:webHidden/>
              </w:rPr>
              <w:fldChar w:fldCharType="end"/>
            </w:r>
          </w:hyperlink>
        </w:p>
        <w:p w:rsidR="00E556F1" w:rsidRPr="00E556F1" w:rsidRDefault="00E45BA8">
          <w:pPr>
            <w:pStyle w:val="TOC2"/>
            <w:rPr>
              <w:rFonts w:ascii="Times New Roman" w:hAnsi="Times New Roman" w:cs="Times New Roman"/>
              <w:b/>
              <w:noProof/>
              <w:lang w:eastAsia="en-US"/>
            </w:rPr>
          </w:pPr>
          <w:hyperlink w:anchor="_Toc11826700" w:history="1">
            <w:r w:rsidR="00E556F1" w:rsidRPr="00E556F1">
              <w:rPr>
                <w:rStyle w:val="Hyperlink"/>
                <w:rFonts w:ascii="Times New Roman" w:hAnsi="Times New Roman" w:cs="Times New Roman"/>
                <w:b/>
                <w:noProof/>
              </w:rPr>
              <w:t>Rate Shock is Not an Issue in This Proceeding, and Rates Should be Set at Cost</w:t>
            </w:r>
            <w:r w:rsidR="00E556F1" w:rsidRPr="00E556F1">
              <w:rPr>
                <w:rFonts w:ascii="Times New Roman" w:hAnsi="Times New Roman" w:cs="Times New Roman"/>
                <w:b/>
                <w:noProof/>
                <w:webHidden/>
              </w:rPr>
              <w:tab/>
            </w:r>
            <w:r w:rsidR="00E556F1" w:rsidRPr="00E556F1">
              <w:rPr>
                <w:rFonts w:ascii="Times New Roman" w:hAnsi="Times New Roman" w:cs="Times New Roman"/>
                <w:b/>
                <w:noProof/>
                <w:webHidden/>
              </w:rPr>
              <w:fldChar w:fldCharType="begin"/>
            </w:r>
            <w:r w:rsidR="00E556F1" w:rsidRPr="00E556F1">
              <w:rPr>
                <w:rFonts w:ascii="Times New Roman" w:hAnsi="Times New Roman" w:cs="Times New Roman"/>
                <w:b/>
                <w:noProof/>
                <w:webHidden/>
              </w:rPr>
              <w:instrText xml:space="preserve"> PAGEREF _Toc11826700 \h </w:instrText>
            </w:r>
            <w:r w:rsidR="00E556F1" w:rsidRPr="00E556F1">
              <w:rPr>
                <w:rFonts w:ascii="Times New Roman" w:hAnsi="Times New Roman" w:cs="Times New Roman"/>
                <w:b/>
                <w:noProof/>
                <w:webHidden/>
              </w:rPr>
            </w:r>
            <w:r w:rsidR="00E556F1" w:rsidRPr="00E556F1">
              <w:rPr>
                <w:rFonts w:ascii="Times New Roman" w:hAnsi="Times New Roman" w:cs="Times New Roman"/>
                <w:b/>
                <w:noProof/>
                <w:webHidden/>
              </w:rPr>
              <w:fldChar w:fldCharType="separate"/>
            </w:r>
            <w:r w:rsidR="00366729">
              <w:rPr>
                <w:rFonts w:ascii="Times New Roman" w:hAnsi="Times New Roman" w:cs="Times New Roman"/>
                <w:b/>
                <w:noProof/>
                <w:webHidden/>
              </w:rPr>
              <w:t>16</w:t>
            </w:r>
            <w:r w:rsidR="00E556F1" w:rsidRPr="00E556F1">
              <w:rPr>
                <w:rFonts w:ascii="Times New Roman" w:hAnsi="Times New Roman" w:cs="Times New Roman"/>
                <w:b/>
                <w:noProof/>
                <w:webHidden/>
              </w:rPr>
              <w:fldChar w:fldCharType="end"/>
            </w:r>
          </w:hyperlink>
        </w:p>
        <w:p w:rsidR="00E556F1" w:rsidRPr="00E556F1" w:rsidRDefault="00E45BA8">
          <w:pPr>
            <w:pStyle w:val="TOC2"/>
            <w:rPr>
              <w:rFonts w:ascii="Times New Roman" w:hAnsi="Times New Roman" w:cs="Times New Roman"/>
              <w:b/>
              <w:noProof/>
              <w:lang w:eastAsia="en-US"/>
            </w:rPr>
          </w:pPr>
          <w:hyperlink w:anchor="_Toc11826701" w:history="1">
            <w:r w:rsidR="00E556F1" w:rsidRPr="00E556F1">
              <w:rPr>
                <w:rStyle w:val="Hyperlink"/>
                <w:rFonts w:ascii="Times New Roman" w:hAnsi="Times New Roman" w:cs="Times New Roman"/>
                <w:b/>
                <w:noProof/>
              </w:rPr>
              <w:t>“Zeroing Out” the TCRF</w:t>
            </w:r>
            <w:r w:rsidR="00E556F1" w:rsidRPr="00E556F1">
              <w:rPr>
                <w:rFonts w:ascii="Times New Roman" w:hAnsi="Times New Roman" w:cs="Times New Roman"/>
                <w:b/>
                <w:noProof/>
                <w:webHidden/>
              </w:rPr>
              <w:tab/>
            </w:r>
            <w:r w:rsidR="00E556F1" w:rsidRPr="00E556F1">
              <w:rPr>
                <w:rFonts w:ascii="Times New Roman" w:hAnsi="Times New Roman" w:cs="Times New Roman"/>
                <w:b/>
                <w:noProof/>
                <w:webHidden/>
              </w:rPr>
              <w:fldChar w:fldCharType="begin"/>
            </w:r>
            <w:r w:rsidR="00E556F1" w:rsidRPr="00E556F1">
              <w:rPr>
                <w:rFonts w:ascii="Times New Roman" w:hAnsi="Times New Roman" w:cs="Times New Roman"/>
                <w:b/>
                <w:noProof/>
                <w:webHidden/>
              </w:rPr>
              <w:instrText xml:space="preserve"> PAGEREF _Toc11826701 \h </w:instrText>
            </w:r>
            <w:r w:rsidR="00E556F1" w:rsidRPr="00E556F1">
              <w:rPr>
                <w:rFonts w:ascii="Times New Roman" w:hAnsi="Times New Roman" w:cs="Times New Roman"/>
                <w:b/>
                <w:noProof/>
                <w:webHidden/>
              </w:rPr>
            </w:r>
            <w:r w:rsidR="00E556F1" w:rsidRPr="00E556F1">
              <w:rPr>
                <w:rFonts w:ascii="Times New Roman" w:hAnsi="Times New Roman" w:cs="Times New Roman"/>
                <w:b/>
                <w:noProof/>
                <w:webHidden/>
              </w:rPr>
              <w:fldChar w:fldCharType="separate"/>
            </w:r>
            <w:r w:rsidR="00366729">
              <w:rPr>
                <w:rFonts w:ascii="Times New Roman" w:hAnsi="Times New Roman" w:cs="Times New Roman"/>
                <w:b/>
                <w:noProof/>
                <w:webHidden/>
              </w:rPr>
              <w:t>26</w:t>
            </w:r>
            <w:r w:rsidR="00E556F1" w:rsidRPr="00E556F1">
              <w:rPr>
                <w:rFonts w:ascii="Times New Roman" w:hAnsi="Times New Roman" w:cs="Times New Roman"/>
                <w:b/>
                <w:noProof/>
                <w:webHidden/>
              </w:rPr>
              <w:fldChar w:fldCharType="end"/>
            </w:r>
          </w:hyperlink>
        </w:p>
        <w:p w:rsidR="00E556F1" w:rsidRPr="00E556F1" w:rsidRDefault="00E45BA8">
          <w:pPr>
            <w:pStyle w:val="TOC1"/>
            <w:rPr>
              <w:rFonts w:eastAsiaTheme="minorEastAsia"/>
              <w:b/>
              <w:sz w:val="22"/>
              <w:szCs w:val="22"/>
            </w:rPr>
          </w:pPr>
          <w:hyperlink w:anchor="_Toc11826702" w:history="1">
            <w:r w:rsidR="00E556F1" w:rsidRPr="00E556F1">
              <w:rPr>
                <w:rStyle w:val="Hyperlink"/>
                <w:b/>
              </w:rPr>
              <w:t>VI.</w:t>
            </w:r>
            <w:r w:rsidR="00E556F1" w:rsidRPr="00E556F1">
              <w:rPr>
                <w:rFonts w:eastAsiaTheme="minorEastAsia"/>
                <w:b/>
                <w:sz w:val="22"/>
                <w:szCs w:val="22"/>
              </w:rPr>
              <w:tab/>
            </w:r>
            <w:r w:rsidR="00E556F1" w:rsidRPr="00E556F1">
              <w:rPr>
                <w:rStyle w:val="Hyperlink"/>
                <w:b/>
              </w:rPr>
              <w:t>RESPONSE TO HEB WITNESS GEORGE PRESSES AND TO TCPA ON 4CP ISSUES</w:t>
            </w:r>
            <w:r w:rsidR="00E556F1" w:rsidRPr="00E556F1">
              <w:rPr>
                <w:b/>
                <w:webHidden/>
              </w:rPr>
              <w:tab/>
            </w:r>
            <w:r w:rsidR="00E556F1" w:rsidRPr="00E556F1">
              <w:rPr>
                <w:b/>
                <w:webHidden/>
              </w:rPr>
              <w:fldChar w:fldCharType="begin"/>
            </w:r>
            <w:r w:rsidR="00E556F1" w:rsidRPr="00E556F1">
              <w:rPr>
                <w:b/>
                <w:webHidden/>
              </w:rPr>
              <w:instrText xml:space="preserve"> PAGEREF _Toc11826702 \h </w:instrText>
            </w:r>
            <w:r w:rsidR="00E556F1" w:rsidRPr="00E556F1">
              <w:rPr>
                <w:b/>
                <w:webHidden/>
              </w:rPr>
            </w:r>
            <w:r w:rsidR="00E556F1" w:rsidRPr="00E556F1">
              <w:rPr>
                <w:b/>
                <w:webHidden/>
              </w:rPr>
              <w:fldChar w:fldCharType="separate"/>
            </w:r>
            <w:r w:rsidR="00366729">
              <w:rPr>
                <w:b/>
                <w:webHidden/>
              </w:rPr>
              <w:t>28</w:t>
            </w:r>
            <w:r w:rsidR="00E556F1" w:rsidRPr="00E556F1">
              <w:rPr>
                <w:b/>
                <w:webHidden/>
              </w:rPr>
              <w:fldChar w:fldCharType="end"/>
            </w:r>
          </w:hyperlink>
        </w:p>
        <w:p w:rsidR="00E556F1" w:rsidRPr="00E556F1" w:rsidRDefault="00E45BA8">
          <w:pPr>
            <w:pStyle w:val="TOC2"/>
            <w:rPr>
              <w:rFonts w:ascii="Times New Roman" w:hAnsi="Times New Roman" w:cs="Times New Roman"/>
              <w:b/>
              <w:noProof/>
              <w:lang w:eastAsia="en-US"/>
            </w:rPr>
          </w:pPr>
          <w:hyperlink w:anchor="_Toc11826703" w:history="1">
            <w:r w:rsidR="00E556F1" w:rsidRPr="00E556F1">
              <w:rPr>
                <w:rStyle w:val="Hyperlink"/>
                <w:rFonts w:ascii="Times New Roman" w:hAnsi="Times New Roman" w:cs="Times New Roman"/>
                <w:b/>
                <w:noProof/>
              </w:rPr>
              <w:t>A 4CP Rate Design for Transmission Rates is Appropriate</w:t>
            </w:r>
            <w:r w:rsidR="00E556F1" w:rsidRPr="00E556F1">
              <w:rPr>
                <w:rFonts w:ascii="Times New Roman" w:hAnsi="Times New Roman" w:cs="Times New Roman"/>
                <w:b/>
                <w:noProof/>
                <w:webHidden/>
              </w:rPr>
              <w:tab/>
            </w:r>
            <w:r w:rsidR="00E556F1" w:rsidRPr="00E556F1">
              <w:rPr>
                <w:rFonts w:ascii="Times New Roman" w:hAnsi="Times New Roman" w:cs="Times New Roman"/>
                <w:b/>
                <w:noProof/>
                <w:webHidden/>
              </w:rPr>
              <w:fldChar w:fldCharType="begin"/>
            </w:r>
            <w:r w:rsidR="00E556F1" w:rsidRPr="00E556F1">
              <w:rPr>
                <w:rFonts w:ascii="Times New Roman" w:hAnsi="Times New Roman" w:cs="Times New Roman"/>
                <w:b/>
                <w:noProof/>
                <w:webHidden/>
              </w:rPr>
              <w:instrText xml:space="preserve"> PAGEREF _Toc11826703 \h </w:instrText>
            </w:r>
            <w:r w:rsidR="00E556F1" w:rsidRPr="00E556F1">
              <w:rPr>
                <w:rFonts w:ascii="Times New Roman" w:hAnsi="Times New Roman" w:cs="Times New Roman"/>
                <w:b/>
                <w:noProof/>
                <w:webHidden/>
              </w:rPr>
            </w:r>
            <w:r w:rsidR="00E556F1" w:rsidRPr="00E556F1">
              <w:rPr>
                <w:rFonts w:ascii="Times New Roman" w:hAnsi="Times New Roman" w:cs="Times New Roman"/>
                <w:b/>
                <w:noProof/>
                <w:webHidden/>
              </w:rPr>
              <w:fldChar w:fldCharType="separate"/>
            </w:r>
            <w:r w:rsidR="00366729">
              <w:rPr>
                <w:rFonts w:ascii="Times New Roman" w:hAnsi="Times New Roman" w:cs="Times New Roman"/>
                <w:b/>
                <w:noProof/>
                <w:webHidden/>
              </w:rPr>
              <w:t>32</w:t>
            </w:r>
            <w:r w:rsidR="00E556F1" w:rsidRPr="00E556F1">
              <w:rPr>
                <w:rFonts w:ascii="Times New Roman" w:hAnsi="Times New Roman" w:cs="Times New Roman"/>
                <w:b/>
                <w:noProof/>
                <w:webHidden/>
              </w:rPr>
              <w:fldChar w:fldCharType="end"/>
            </w:r>
          </w:hyperlink>
        </w:p>
        <w:p w:rsidR="00E556F1" w:rsidRPr="00E556F1" w:rsidRDefault="00E45BA8">
          <w:pPr>
            <w:pStyle w:val="TOC2"/>
            <w:rPr>
              <w:rFonts w:ascii="Times New Roman" w:hAnsi="Times New Roman" w:cs="Times New Roman"/>
              <w:b/>
              <w:noProof/>
              <w:lang w:eastAsia="en-US"/>
            </w:rPr>
          </w:pPr>
          <w:hyperlink w:anchor="_Toc11826704" w:history="1">
            <w:r w:rsidR="00E556F1" w:rsidRPr="00E556F1">
              <w:rPr>
                <w:rStyle w:val="Hyperlink"/>
                <w:rFonts w:ascii="Times New Roman" w:hAnsi="Times New Roman" w:cs="Times New Roman"/>
                <w:b/>
                <w:noProof/>
              </w:rPr>
              <w:t>A 4CP Allocation is Appropriate for Transmission Costs</w:t>
            </w:r>
            <w:r w:rsidR="00E556F1" w:rsidRPr="00E556F1">
              <w:rPr>
                <w:rFonts w:ascii="Times New Roman" w:hAnsi="Times New Roman" w:cs="Times New Roman"/>
                <w:b/>
                <w:noProof/>
                <w:webHidden/>
              </w:rPr>
              <w:tab/>
            </w:r>
            <w:r w:rsidR="00E556F1" w:rsidRPr="00E556F1">
              <w:rPr>
                <w:rFonts w:ascii="Times New Roman" w:hAnsi="Times New Roman" w:cs="Times New Roman"/>
                <w:b/>
                <w:noProof/>
                <w:webHidden/>
              </w:rPr>
              <w:fldChar w:fldCharType="begin"/>
            </w:r>
            <w:r w:rsidR="00E556F1" w:rsidRPr="00E556F1">
              <w:rPr>
                <w:rFonts w:ascii="Times New Roman" w:hAnsi="Times New Roman" w:cs="Times New Roman"/>
                <w:b/>
                <w:noProof/>
                <w:webHidden/>
              </w:rPr>
              <w:instrText xml:space="preserve"> PAGEREF _Toc11826704 \h </w:instrText>
            </w:r>
            <w:r w:rsidR="00E556F1" w:rsidRPr="00E556F1">
              <w:rPr>
                <w:rFonts w:ascii="Times New Roman" w:hAnsi="Times New Roman" w:cs="Times New Roman"/>
                <w:b/>
                <w:noProof/>
                <w:webHidden/>
              </w:rPr>
            </w:r>
            <w:r w:rsidR="00E556F1" w:rsidRPr="00E556F1">
              <w:rPr>
                <w:rFonts w:ascii="Times New Roman" w:hAnsi="Times New Roman" w:cs="Times New Roman"/>
                <w:b/>
                <w:noProof/>
                <w:webHidden/>
              </w:rPr>
              <w:fldChar w:fldCharType="separate"/>
            </w:r>
            <w:r w:rsidR="00366729">
              <w:rPr>
                <w:rFonts w:ascii="Times New Roman" w:hAnsi="Times New Roman" w:cs="Times New Roman"/>
                <w:b/>
                <w:noProof/>
                <w:webHidden/>
              </w:rPr>
              <w:t>36</w:t>
            </w:r>
            <w:r w:rsidR="00E556F1" w:rsidRPr="00E556F1">
              <w:rPr>
                <w:rFonts w:ascii="Times New Roman" w:hAnsi="Times New Roman" w:cs="Times New Roman"/>
                <w:b/>
                <w:noProof/>
                <w:webHidden/>
              </w:rPr>
              <w:fldChar w:fldCharType="end"/>
            </w:r>
          </w:hyperlink>
        </w:p>
        <w:p w:rsidR="00E556F1" w:rsidRPr="00E556F1" w:rsidRDefault="00E45BA8">
          <w:pPr>
            <w:pStyle w:val="TOC2"/>
            <w:rPr>
              <w:rFonts w:ascii="Times New Roman" w:hAnsi="Times New Roman" w:cs="Times New Roman"/>
              <w:b/>
              <w:noProof/>
              <w:lang w:eastAsia="en-US"/>
            </w:rPr>
          </w:pPr>
          <w:hyperlink w:anchor="_Toc11826705" w:history="1">
            <w:r w:rsidR="00E556F1" w:rsidRPr="00E556F1">
              <w:rPr>
                <w:rStyle w:val="Hyperlink"/>
                <w:rFonts w:ascii="Times New Roman" w:hAnsi="Times New Roman" w:cs="Times New Roman"/>
                <w:b/>
                <w:noProof/>
              </w:rPr>
              <w:t>The Hogan-Pope and IMM Reports are Flawed with Regard to Transmission Rate Design</w:t>
            </w:r>
            <w:r w:rsidR="00E556F1" w:rsidRPr="00E556F1">
              <w:rPr>
                <w:rFonts w:ascii="Times New Roman" w:hAnsi="Times New Roman" w:cs="Times New Roman"/>
                <w:b/>
                <w:noProof/>
                <w:webHidden/>
              </w:rPr>
              <w:tab/>
            </w:r>
            <w:r w:rsidR="00E556F1" w:rsidRPr="00E556F1">
              <w:rPr>
                <w:rFonts w:ascii="Times New Roman" w:hAnsi="Times New Roman" w:cs="Times New Roman"/>
                <w:b/>
                <w:noProof/>
                <w:webHidden/>
              </w:rPr>
              <w:fldChar w:fldCharType="begin"/>
            </w:r>
            <w:r w:rsidR="00E556F1" w:rsidRPr="00E556F1">
              <w:rPr>
                <w:rFonts w:ascii="Times New Roman" w:hAnsi="Times New Roman" w:cs="Times New Roman"/>
                <w:b/>
                <w:noProof/>
                <w:webHidden/>
              </w:rPr>
              <w:instrText xml:space="preserve"> PAGEREF _Toc11826705 \h </w:instrText>
            </w:r>
            <w:r w:rsidR="00E556F1" w:rsidRPr="00E556F1">
              <w:rPr>
                <w:rFonts w:ascii="Times New Roman" w:hAnsi="Times New Roman" w:cs="Times New Roman"/>
                <w:b/>
                <w:noProof/>
                <w:webHidden/>
              </w:rPr>
            </w:r>
            <w:r w:rsidR="00E556F1" w:rsidRPr="00E556F1">
              <w:rPr>
                <w:rFonts w:ascii="Times New Roman" w:hAnsi="Times New Roman" w:cs="Times New Roman"/>
                <w:b/>
                <w:noProof/>
                <w:webHidden/>
              </w:rPr>
              <w:fldChar w:fldCharType="separate"/>
            </w:r>
            <w:r w:rsidR="00366729">
              <w:rPr>
                <w:rFonts w:ascii="Times New Roman" w:hAnsi="Times New Roman" w:cs="Times New Roman"/>
                <w:b/>
                <w:noProof/>
                <w:webHidden/>
              </w:rPr>
              <w:t>36</w:t>
            </w:r>
            <w:r w:rsidR="00E556F1" w:rsidRPr="00E556F1">
              <w:rPr>
                <w:rFonts w:ascii="Times New Roman" w:hAnsi="Times New Roman" w:cs="Times New Roman"/>
                <w:b/>
                <w:noProof/>
                <w:webHidden/>
              </w:rPr>
              <w:fldChar w:fldCharType="end"/>
            </w:r>
          </w:hyperlink>
        </w:p>
        <w:p w:rsidR="00E556F1" w:rsidRPr="00E556F1" w:rsidRDefault="00E45BA8">
          <w:pPr>
            <w:pStyle w:val="TOC1"/>
            <w:rPr>
              <w:rFonts w:eastAsiaTheme="minorEastAsia"/>
              <w:b/>
              <w:sz w:val="22"/>
              <w:szCs w:val="22"/>
            </w:rPr>
          </w:pPr>
          <w:hyperlink w:anchor="_Toc11826706" w:history="1">
            <w:r w:rsidR="00E556F1" w:rsidRPr="00E556F1">
              <w:rPr>
                <w:rStyle w:val="Hyperlink"/>
                <w:b/>
              </w:rPr>
              <w:t>VII.</w:t>
            </w:r>
            <w:r w:rsidR="00E556F1" w:rsidRPr="00E556F1">
              <w:rPr>
                <w:rFonts w:eastAsiaTheme="minorEastAsia"/>
                <w:b/>
                <w:sz w:val="22"/>
                <w:szCs w:val="22"/>
              </w:rPr>
              <w:tab/>
            </w:r>
            <w:r w:rsidR="00E556F1" w:rsidRPr="00E556F1">
              <w:rPr>
                <w:rStyle w:val="Hyperlink"/>
                <w:b/>
              </w:rPr>
              <w:t>CONCLUSION</w:t>
            </w:r>
            <w:r w:rsidR="00E556F1" w:rsidRPr="00E556F1">
              <w:rPr>
                <w:b/>
                <w:webHidden/>
              </w:rPr>
              <w:tab/>
            </w:r>
            <w:r w:rsidR="00E556F1" w:rsidRPr="00E556F1">
              <w:rPr>
                <w:b/>
                <w:webHidden/>
              </w:rPr>
              <w:fldChar w:fldCharType="begin"/>
            </w:r>
            <w:r w:rsidR="00E556F1" w:rsidRPr="00E556F1">
              <w:rPr>
                <w:b/>
                <w:webHidden/>
              </w:rPr>
              <w:instrText xml:space="preserve"> PAGEREF _Toc11826706 \h </w:instrText>
            </w:r>
            <w:r w:rsidR="00E556F1" w:rsidRPr="00E556F1">
              <w:rPr>
                <w:b/>
                <w:webHidden/>
              </w:rPr>
            </w:r>
            <w:r w:rsidR="00E556F1" w:rsidRPr="00E556F1">
              <w:rPr>
                <w:b/>
                <w:webHidden/>
              </w:rPr>
              <w:fldChar w:fldCharType="separate"/>
            </w:r>
            <w:r w:rsidR="00366729">
              <w:rPr>
                <w:b/>
                <w:webHidden/>
              </w:rPr>
              <w:t>44</w:t>
            </w:r>
            <w:r w:rsidR="00E556F1" w:rsidRPr="00E556F1">
              <w:rPr>
                <w:b/>
                <w:webHidden/>
              </w:rPr>
              <w:fldChar w:fldCharType="end"/>
            </w:r>
          </w:hyperlink>
        </w:p>
        <w:p w:rsidR="00412024" w:rsidRPr="00AF016C" w:rsidRDefault="00412024" w:rsidP="000378A4">
          <w:pPr>
            <w:suppressLineNumbers/>
            <w:spacing w:line="480" w:lineRule="auto"/>
            <w:ind w:left="648"/>
            <w:rPr>
              <w:b/>
            </w:rPr>
          </w:pPr>
          <w:r w:rsidRPr="00E83B78">
            <w:rPr>
              <w:b/>
              <w:bCs/>
              <w:noProof/>
              <w:sz w:val="24"/>
              <w:szCs w:val="24"/>
            </w:rPr>
            <w:fldChar w:fldCharType="end"/>
          </w:r>
        </w:p>
      </w:sdtContent>
    </w:sdt>
    <w:p w:rsidR="00C2348D" w:rsidRDefault="00C2348D" w:rsidP="00A411A4">
      <w:pPr>
        <w:pStyle w:val="BodyText"/>
        <w:suppressLineNumbers/>
        <w:spacing w:line="360" w:lineRule="auto"/>
        <w:jc w:val="center"/>
      </w:pPr>
    </w:p>
    <w:p w:rsidR="007A6EA9" w:rsidRPr="00987C06" w:rsidRDefault="00987C06" w:rsidP="00987C06">
      <w:pPr>
        <w:pStyle w:val="BodyText"/>
        <w:suppressLineNumbers/>
        <w:spacing w:line="360" w:lineRule="auto"/>
        <w:jc w:val="center"/>
        <w:rPr>
          <w:szCs w:val="24"/>
        </w:rPr>
      </w:pPr>
      <w:bookmarkStart w:id="1" w:name="_Ref495998790"/>
      <w:r>
        <w:rPr>
          <w:szCs w:val="24"/>
        </w:rPr>
        <w:t>W</w:t>
      </w:r>
      <w:r w:rsidR="004A197F">
        <w:rPr>
          <w:szCs w:val="24"/>
        </w:rPr>
        <w:t>ORKPAPERS</w:t>
      </w:r>
    </w:p>
    <w:p w:rsidR="00961EAD" w:rsidRPr="00961EAD" w:rsidRDefault="00961EAD" w:rsidP="00987C06">
      <w:pPr>
        <w:pStyle w:val="BodyText"/>
        <w:suppressLineNumbers/>
        <w:tabs>
          <w:tab w:val="left" w:pos="7100"/>
        </w:tabs>
        <w:spacing w:line="360" w:lineRule="auto"/>
        <w:jc w:val="center"/>
        <w:rPr>
          <w:szCs w:val="24"/>
        </w:rPr>
      </w:pPr>
    </w:p>
    <w:p w:rsidR="00C2348D" w:rsidRDefault="00C2348D" w:rsidP="00067639">
      <w:pPr>
        <w:pStyle w:val="BodyText"/>
        <w:suppressLineNumbers/>
        <w:spacing w:line="360" w:lineRule="auto"/>
        <w:ind w:left="720"/>
        <w:rPr>
          <w:b w:val="0"/>
          <w:sz w:val="22"/>
          <w:szCs w:val="22"/>
        </w:rPr>
      </w:pPr>
      <w:r>
        <w:rPr>
          <w:sz w:val="22"/>
          <w:szCs w:val="22"/>
        </w:rPr>
        <w:br w:type="page"/>
      </w:r>
    </w:p>
    <w:p w:rsidR="00C04218" w:rsidRPr="0092752C" w:rsidRDefault="00C04218" w:rsidP="00BE5FC4">
      <w:pPr>
        <w:pStyle w:val="Heading1"/>
        <w:numPr>
          <w:ilvl w:val="0"/>
          <w:numId w:val="1"/>
        </w:numPr>
        <w:tabs>
          <w:tab w:val="clear" w:pos="720"/>
          <w:tab w:val="num" w:pos="144"/>
        </w:tabs>
        <w:spacing w:line="480" w:lineRule="auto"/>
        <w:jc w:val="both"/>
        <w:rPr>
          <w:sz w:val="24"/>
        </w:rPr>
      </w:pPr>
      <w:bookmarkStart w:id="2" w:name="_Toc15351341"/>
      <w:bookmarkStart w:id="3" w:name="_Toc11826694"/>
      <w:r w:rsidRPr="0092752C">
        <w:rPr>
          <w:sz w:val="24"/>
        </w:rPr>
        <w:lastRenderedPageBreak/>
        <w:t>PROFESSIONAL QUALIFICATIONS</w:t>
      </w:r>
      <w:bookmarkEnd w:id="1"/>
      <w:bookmarkEnd w:id="2"/>
      <w:bookmarkEnd w:id="3"/>
    </w:p>
    <w:p w:rsidR="00F51548" w:rsidRPr="0092752C" w:rsidRDefault="00F51548" w:rsidP="00176886">
      <w:pPr>
        <w:pStyle w:val="BodyText3"/>
        <w:spacing w:line="480" w:lineRule="auto"/>
      </w:pPr>
      <w:r w:rsidRPr="0092752C">
        <w:t>Q.</w:t>
      </w:r>
      <w:r w:rsidRPr="0092752C">
        <w:tab/>
      </w:r>
      <w:r w:rsidR="001E0783" w:rsidRPr="0092752C">
        <w:t>Please state your name and business address</w:t>
      </w:r>
      <w:r w:rsidR="00FE4C78" w:rsidRPr="0092752C">
        <w:t>.</w:t>
      </w:r>
    </w:p>
    <w:p w:rsidR="00F51548" w:rsidRPr="0092752C" w:rsidRDefault="00F51548" w:rsidP="00176886">
      <w:pPr>
        <w:spacing w:line="480" w:lineRule="auto"/>
        <w:jc w:val="both"/>
        <w:rPr>
          <w:sz w:val="24"/>
        </w:rPr>
      </w:pPr>
      <w:r w:rsidRPr="0092752C">
        <w:rPr>
          <w:sz w:val="24"/>
        </w:rPr>
        <w:t>A.</w:t>
      </w:r>
      <w:r w:rsidRPr="0092752C">
        <w:rPr>
          <w:sz w:val="24"/>
        </w:rPr>
        <w:tab/>
      </w:r>
      <w:r w:rsidR="0030621B" w:rsidRPr="0092752C">
        <w:rPr>
          <w:sz w:val="24"/>
        </w:rPr>
        <w:t>William B. Abbott</w:t>
      </w:r>
      <w:r w:rsidRPr="0092752C">
        <w:rPr>
          <w:sz w:val="24"/>
        </w:rPr>
        <w:t xml:space="preserve">, </w:t>
      </w:r>
      <w:r w:rsidR="00B20B1D" w:rsidRPr="0092752C">
        <w:rPr>
          <w:sz w:val="24"/>
        </w:rPr>
        <w:t>1</w:t>
      </w:r>
      <w:r w:rsidR="00C95A40" w:rsidRPr="0092752C">
        <w:rPr>
          <w:sz w:val="24"/>
        </w:rPr>
        <w:t xml:space="preserve">701 </w:t>
      </w:r>
      <w:r w:rsidRPr="0092752C">
        <w:rPr>
          <w:sz w:val="24"/>
        </w:rPr>
        <w:t>N. Congress Avenue, Austin, T</w:t>
      </w:r>
      <w:r w:rsidR="006B1B74">
        <w:rPr>
          <w:sz w:val="24"/>
        </w:rPr>
        <w:t>exas</w:t>
      </w:r>
      <w:r w:rsidRPr="0092752C">
        <w:rPr>
          <w:sz w:val="24"/>
        </w:rPr>
        <w:t xml:space="preserve">  78711.</w:t>
      </w:r>
    </w:p>
    <w:p w:rsidR="00F51548" w:rsidRPr="0092752C" w:rsidRDefault="00F51548" w:rsidP="00176886">
      <w:pPr>
        <w:spacing w:line="480" w:lineRule="auto"/>
        <w:jc w:val="both"/>
      </w:pPr>
      <w:r w:rsidRPr="0092752C">
        <w:rPr>
          <w:b/>
          <w:sz w:val="24"/>
        </w:rPr>
        <w:t>Q.</w:t>
      </w:r>
      <w:r w:rsidRPr="0092752C">
        <w:rPr>
          <w:b/>
          <w:sz w:val="24"/>
        </w:rPr>
        <w:tab/>
      </w:r>
      <w:r w:rsidR="001E0783" w:rsidRPr="0092752C">
        <w:rPr>
          <w:b/>
          <w:sz w:val="24"/>
        </w:rPr>
        <w:t>By whom are you employed and in what capacity</w:t>
      </w:r>
      <w:r w:rsidRPr="0092752C">
        <w:rPr>
          <w:b/>
          <w:sz w:val="24"/>
        </w:rPr>
        <w:t>?</w:t>
      </w:r>
    </w:p>
    <w:p w:rsidR="00F51548" w:rsidRPr="0092752C" w:rsidRDefault="00F51548" w:rsidP="00176886">
      <w:pPr>
        <w:pStyle w:val="Q"/>
        <w:keepNext w:val="0"/>
        <w:spacing w:before="0" w:line="480" w:lineRule="auto"/>
      </w:pPr>
      <w:r w:rsidRPr="0092752C">
        <w:t>A.</w:t>
      </w:r>
      <w:r w:rsidRPr="0092752C">
        <w:tab/>
        <w:t>I am employed by the Publi</w:t>
      </w:r>
      <w:r w:rsidR="00603498">
        <w:t>c Utility Commission of Texas (</w:t>
      </w:r>
      <w:r w:rsidR="002644FF">
        <w:t>“</w:t>
      </w:r>
      <w:r w:rsidR="00603498">
        <w:t>C</w:t>
      </w:r>
      <w:r w:rsidRPr="0092752C">
        <w:t>ommission</w:t>
      </w:r>
      <w:r w:rsidR="002644FF">
        <w:t>”</w:t>
      </w:r>
      <w:r w:rsidR="00603498">
        <w:t>)</w:t>
      </w:r>
      <w:r w:rsidRPr="0092752C">
        <w:t xml:space="preserve"> as </w:t>
      </w:r>
      <w:r w:rsidR="00E06394" w:rsidRPr="0092752C">
        <w:t xml:space="preserve">the Director </w:t>
      </w:r>
      <w:r w:rsidR="006A34DF" w:rsidRPr="0092752C">
        <w:t>of the</w:t>
      </w:r>
      <w:r w:rsidR="0030621B" w:rsidRPr="0092752C">
        <w:t xml:space="preserve"> </w:t>
      </w:r>
      <w:r w:rsidR="00CB58A1" w:rsidRPr="0092752C">
        <w:t>Tariff and Rate Analysis Section of the Rate Regulation Division.</w:t>
      </w:r>
    </w:p>
    <w:p w:rsidR="009B1750" w:rsidRPr="0092752C" w:rsidRDefault="00F51548" w:rsidP="00176886">
      <w:pPr>
        <w:spacing w:line="480" w:lineRule="auto"/>
        <w:jc w:val="both"/>
        <w:rPr>
          <w:b/>
          <w:sz w:val="24"/>
        </w:rPr>
      </w:pPr>
      <w:r w:rsidRPr="0092752C">
        <w:rPr>
          <w:b/>
          <w:sz w:val="24"/>
        </w:rPr>
        <w:t>Q.</w:t>
      </w:r>
      <w:r w:rsidRPr="0092752C">
        <w:rPr>
          <w:b/>
          <w:sz w:val="24"/>
        </w:rPr>
        <w:tab/>
      </w:r>
      <w:r w:rsidR="00D608C2" w:rsidRPr="0092752C">
        <w:rPr>
          <w:b/>
          <w:sz w:val="24"/>
        </w:rPr>
        <w:t>What are your principal responsibilities</w:t>
      </w:r>
      <w:r w:rsidR="00BF4ECC" w:rsidRPr="0092752C">
        <w:rPr>
          <w:b/>
          <w:sz w:val="24"/>
        </w:rPr>
        <w:t xml:space="preserve"> </w:t>
      </w:r>
      <w:r w:rsidR="00971557" w:rsidRPr="0092752C">
        <w:rPr>
          <w:b/>
          <w:sz w:val="24"/>
        </w:rPr>
        <w:t>at the Commission</w:t>
      </w:r>
      <w:r w:rsidR="00CB58A1" w:rsidRPr="0092752C">
        <w:rPr>
          <w:b/>
          <w:sz w:val="24"/>
        </w:rPr>
        <w:t>?</w:t>
      </w:r>
    </w:p>
    <w:p w:rsidR="003336FE" w:rsidRPr="0092752C" w:rsidRDefault="0030621B" w:rsidP="00176886">
      <w:pPr>
        <w:pStyle w:val="A"/>
        <w:spacing w:after="0" w:line="480" w:lineRule="auto"/>
      </w:pPr>
      <w:r w:rsidRPr="0092752C">
        <w:t>A.</w:t>
      </w:r>
      <w:r w:rsidRPr="0092752C">
        <w:tab/>
      </w:r>
      <w:r w:rsidR="006A34DF" w:rsidRPr="0092752C">
        <w:t xml:space="preserve">In addition to the </w:t>
      </w:r>
      <w:r w:rsidR="00B628D1">
        <w:t xml:space="preserve">supervision and </w:t>
      </w:r>
      <w:r w:rsidR="006A34DF" w:rsidRPr="0092752C">
        <w:t xml:space="preserve">management of the </w:t>
      </w:r>
      <w:r w:rsidR="00777972">
        <w:t xml:space="preserve">rate analysts and financial analysts in the </w:t>
      </w:r>
      <w:r w:rsidR="006A34DF" w:rsidRPr="0092752C">
        <w:t>Tariff and Rate Analysis Section, m</w:t>
      </w:r>
      <w:r w:rsidR="0000662C" w:rsidRPr="0092752C">
        <w:t>y principal</w:t>
      </w:r>
      <w:r w:rsidR="00FF4D90" w:rsidRPr="0092752C">
        <w:t xml:space="preserve"> area of responsibility </w:t>
      </w:r>
      <w:r w:rsidR="006A34DF" w:rsidRPr="0092752C">
        <w:t>involves</w:t>
      </w:r>
      <w:r w:rsidR="00FF4D90" w:rsidRPr="0092752C">
        <w:t xml:space="preserve"> performing analyses of </w:t>
      </w:r>
      <w:r w:rsidR="00DA132A">
        <w:t xml:space="preserve">issues such as </w:t>
      </w:r>
      <w:r w:rsidR="00FF4D90" w:rsidRPr="0092752C">
        <w:t>utility cost allocation, rate design, and t</w:t>
      </w:r>
      <w:r w:rsidR="00C33567" w:rsidRPr="0092752C">
        <w:t>ariff filings.  My</w:t>
      </w:r>
      <w:r w:rsidR="0000662C" w:rsidRPr="0092752C">
        <w:t xml:space="preserve"> </w:t>
      </w:r>
      <w:r w:rsidR="00620642">
        <w:t xml:space="preserve">specific </w:t>
      </w:r>
      <w:r w:rsidR="0000662C" w:rsidRPr="0092752C">
        <w:t>responsibilities include</w:t>
      </w:r>
      <w:r w:rsidR="00C33567" w:rsidRPr="0092752C">
        <w:t>:</w:t>
      </w:r>
      <w:r w:rsidR="0000662C" w:rsidRPr="0092752C">
        <w:t xml:space="preserve"> </w:t>
      </w:r>
      <w:r w:rsidR="00C33567" w:rsidRPr="0092752C">
        <w:t>analyzing cost allocation studies</w:t>
      </w:r>
      <w:r w:rsidR="00AA18D3">
        <w:t>,</w:t>
      </w:r>
      <w:r w:rsidR="00B628D1">
        <w:t xml:space="preserve"> as well as revenue distribution</w:t>
      </w:r>
      <w:r w:rsidR="00C33567" w:rsidRPr="0092752C">
        <w:t xml:space="preserve"> and rate </w:t>
      </w:r>
      <w:r w:rsidR="00C33567" w:rsidRPr="00B73D74">
        <w:t>design issues</w:t>
      </w:r>
      <w:r w:rsidR="00AA18D3">
        <w:t>,</w:t>
      </w:r>
      <w:r w:rsidR="00C33567" w:rsidRPr="00B73D74">
        <w:t xml:space="preserve"> for regulated electric utilities</w:t>
      </w:r>
      <w:r w:rsidR="0000662C" w:rsidRPr="00B73D74">
        <w:t>;</w:t>
      </w:r>
      <w:r w:rsidR="00C33567" w:rsidRPr="00B73D74">
        <w:t xml:space="preserve"> analyzing policy issues associated with the regulation of the electric industry;</w:t>
      </w:r>
      <w:r w:rsidR="0000662C" w:rsidRPr="00B73D74">
        <w:t xml:space="preserve"> reviewing tariffs of regulated utilities to determine compliance with Commission requirements; preparing and presenting testimo</w:t>
      </w:r>
      <w:r w:rsidR="000A68B0" w:rsidRPr="00B73D74">
        <w:t>ny as an expert witness on rate</w:t>
      </w:r>
      <w:r w:rsidR="00C33567" w:rsidRPr="00B73D74">
        <w:t xml:space="preserve"> and </w:t>
      </w:r>
      <w:r w:rsidR="0000662C" w:rsidRPr="00B73D74">
        <w:t>related issues in docketed proceedings before the Commission and the State Office of Administrative Hearings</w:t>
      </w:r>
      <w:r w:rsidR="00BC1A1E" w:rsidRPr="00B73D74">
        <w:t xml:space="preserve"> (</w:t>
      </w:r>
      <w:r w:rsidR="002644FF">
        <w:t>“</w:t>
      </w:r>
      <w:r w:rsidR="00BC1A1E" w:rsidRPr="00B73D74">
        <w:t>SOAH</w:t>
      </w:r>
      <w:r w:rsidR="002644FF">
        <w:t>”</w:t>
      </w:r>
      <w:r w:rsidR="00BC1A1E" w:rsidRPr="00B73D74">
        <w:t>)</w:t>
      </w:r>
      <w:r w:rsidR="0000662C" w:rsidRPr="00B73D74">
        <w:t xml:space="preserve">; and working </w:t>
      </w:r>
      <w:r w:rsidRPr="00B73D74">
        <w:t>on</w:t>
      </w:r>
      <w:r w:rsidR="006A34DF" w:rsidRPr="00B73D74">
        <w:t xml:space="preserve"> or leading teams in contested cases, rulemaking projects, reports, and research concerning rates, pricing, and</w:t>
      </w:r>
      <w:r w:rsidR="0000662C" w:rsidRPr="00B73D74">
        <w:t xml:space="preserve"> other Commission-related issues.</w:t>
      </w:r>
    </w:p>
    <w:p w:rsidR="00F51548" w:rsidRPr="0092752C" w:rsidRDefault="00F51548" w:rsidP="00176886">
      <w:pPr>
        <w:pStyle w:val="Q"/>
        <w:spacing w:before="0" w:line="480" w:lineRule="auto"/>
        <w:rPr>
          <w:b/>
        </w:rPr>
      </w:pPr>
      <w:r w:rsidRPr="0092752C">
        <w:rPr>
          <w:b/>
        </w:rPr>
        <w:t>Q.</w:t>
      </w:r>
      <w:r w:rsidRPr="0092752C">
        <w:rPr>
          <w:b/>
        </w:rPr>
        <w:tab/>
      </w:r>
      <w:r w:rsidR="00D608C2" w:rsidRPr="0092752C">
        <w:rPr>
          <w:b/>
        </w:rPr>
        <w:t>Please state your educational background and professional experience</w:t>
      </w:r>
      <w:r w:rsidR="00FE4C78" w:rsidRPr="0092752C">
        <w:rPr>
          <w:b/>
        </w:rPr>
        <w:t>.</w:t>
      </w:r>
    </w:p>
    <w:p w:rsidR="000678AF" w:rsidRPr="00987C06" w:rsidRDefault="00F51548" w:rsidP="000678AF">
      <w:pPr>
        <w:pStyle w:val="A"/>
        <w:spacing w:after="0" w:line="480" w:lineRule="auto"/>
      </w:pPr>
      <w:r w:rsidRPr="0092752C">
        <w:t>A.</w:t>
      </w:r>
      <w:r w:rsidRPr="0092752C">
        <w:tab/>
      </w:r>
      <w:r w:rsidR="000678AF" w:rsidRPr="00F7439B">
        <w:t xml:space="preserve">I earned Bachelor of Science degrees in Chemistry, Psychology, and Economics with a minor in Mathematics from the University of Houston.  I earned a Master of Arts degree in Economics </w:t>
      </w:r>
      <w:r w:rsidR="000678AF">
        <w:t>from</w:t>
      </w:r>
      <w:r w:rsidR="000678AF" w:rsidRPr="00F7439B">
        <w:t xml:space="preserve"> George Mason University</w:t>
      </w:r>
      <w:r w:rsidR="000678AF">
        <w:t xml:space="preserve"> </w:t>
      </w:r>
      <w:r w:rsidR="000678AF" w:rsidRPr="00F7439B">
        <w:t xml:space="preserve">while successfully completing all non-dissertation requirements for a Ph.D., with field concentrations in Law &amp; Economics as </w:t>
      </w:r>
      <w:r w:rsidR="000678AF" w:rsidRPr="00F7439B">
        <w:lastRenderedPageBreak/>
        <w:t xml:space="preserve">well as Public Choice Economics.  My field concentrations involved the study of the dynamics and social welfare implications of behavior in non-commercial domains such as the legal, political, legislative, and regulatory arenas.  For several years as an </w:t>
      </w:r>
      <w:r w:rsidR="000678AF" w:rsidRPr="00987C06">
        <w:t>undergraduate and post-baccalaureate student, I was employed teaching introductory and organic chemistry laboratory courses.  As a graduate student, I taught several undergraduate lecture courses including Introductory Microeconomics, Introductory Macroeconomics, Money &amp; Banking, as well as Law &amp; Economics.  Subsequent to my graduate studies and prior to my employment at the Commission, I was engaged as a freelance consultant to perform econometric analyses.  In 2010, I was hired as a Rate Analyst at the Commission.  In 2012, I was promoted to my current position of Director, Tariff and Rate Analysis.  I have provided a summary of my educational background and professional regulatory experience in Attachment WBA-1</w:t>
      </w:r>
      <w:r w:rsidR="000678AF">
        <w:t xml:space="preserve"> to my direct testimony</w:t>
      </w:r>
      <w:r w:rsidR="009862CE">
        <w:t xml:space="preserve"> in this proceeding</w:t>
      </w:r>
      <w:r w:rsidR="000678AF" w:rsidRPr="00987C06">
        <w:t>.</w:t>
      </w:r>
    </w:p>
    <w:p w:rsidR="00C33567" w:rsidRPr="00987C06" w:rsidRDefault="00C33567" w:rsidP="00176886">
      <w:pPr>
        <w:pStyle w:val="A"/>
        <w:spacing w:after="0" w:line="480" w:lineRule="auto"/>
        <w:rPr>
          <w:b/>
        </w:rPr>
      </w:pPr>
      <w:r w:rsidRPr="00987C06">
        <w:rPr>
          <w:b/>
        </w:rPr>
        <w:t>Q.</w:t>
      </w:r>
      <w:r w:rsidRPr="00987C06">
        <w:rPr>
          <w:b/>
        </w:rPr>
        <w:tab/>
        <w:t>Have you previously testified before the Commission or SOAH?</w:t>
      </w:r>
    </w:p>
    <w:p w:rsidR="004E6805" w:rsidRDefault="00C33567" w:rsidP="004E6805">
      <w:pPr>
        <w:pStyle w:val="A"/>
        <w:spacing w:after="0" w:line="480" w:lineRule="auto"/>
      </w:pPr>
      <w:r w:rsidRPr="00987C06">
        <w:t>A.</w:t>
      </w:r>
      <w:r w:rsidRPr="00987C06">
        <w:tab/>
      </w:r>
      <w:r w:rsidR="00D76513" w:rsidRPr="0092752C">
        <w:t xml:space="preserve">Yes. </w:t>
      </w:r>
      <w:r w:rsidR="00D76513">
        <w:t xml:space="preserve"> A listing of my previously filed written testimony is included in </w:t>
      </w:r>
      <w:r w:rsidR="00D76513" w:rsidRPr="0092752C">
        <w:t>Attachment WBA</w:t>
      </w:r>
      <w:r w:rsidR="00D76513">
        <w:noBreakHyphen/>
      </w:r>
      <w:r w:rsidR="00D76513" w:rsidRPr="0092752C">
        <w:t>1</w:t>
      </w:r>
      <w:r w:rsidR="00D76513">
        <w:t xml:space="preserve"> to my direct testimony</w:t>
      </w:r>
      <w:r w:rsidR="009862CE">
        <w:t xml:space="preserve"> in this proceeding</w:t>
      </w:r>
      <w:r w:rsidR="00D76513" w:rsidRPr="0092752C">
        <w:t>.</w:t>
      </w:r>
    </w:p>
    <w:p w:rsidR="00084BB6" w:rsidRPr="00987C06" w:rsidRDefault="00084BB6" w:rsidP="004E6805">
      <w:pPr>
        <w:pStyle w:val="A"/>
        <w:spacing w:after="0" w:line="480" w:lineRule="auto"/>
      </w:pPr>
    </w:p>
    <w:p w:rsidR="00C04218" w:rsidRPr="00987C06" w:rsidRDefault="004C2D8D" w:rsidP="00BE5FC4">
      <w:pPr>
        <w:pStyle w:val="Heading1"/>
        <w:numPr>
          <w:ilvl w:val="0"/>
          <w:numId w:val="1"/>
        </w:numPr>
        <w:tabs>
          <w:tab w:val="clear" w:pos="720"/>
          <w:tab w:val="num" w:pos="432"/>
        </w:tabs>
        <w:spacing w:line="480" w:lineRule="auto"/>
        <w:jc w:val="both"/>
        <w:rPr>
          <w:sz w:val="24"/>
        </w:rPr>
      </w:pPr>
      <w:bookmarkStart w:id="4" w:name="_Ref495998820"/>
      <w:bookmarkStart w:id="5" w:name="_Toc15351342"/>
      <w:bookmarkStart w:id="6" w:name="_Toc11826695"/>
      <w:r w:rsidRPr="00987C06">
        <w:rPr>
          <w:sz w:val="24"/>
        </w:rPr>
        <w:t xml:space="preserve">PURPOSE AND </w:t>
      </w:r>
      <w:r w:rsidR="00C04218" w:rsidRPr="00987C06">
        <w:rPr>
          <w:sz w:val="24"/>
        </w:rPr>
        <w:t>SCOPE OF TESTIMONY</w:t>
      </w:r>
      <w:bookmarkEnd w:id="4"/>
      <w:bookmarkEnd w:id="5"/>
      <w:bookmarkEnd w:id="6"/>
    </w:p>
    <w:p w:rsidR="00D804D8" w:rsidRPr="00987C06" w:rsidRDefault="00D804D8" w:rsidP="00D804D8">
      <w:pPr>
        <w:pStyle w:val="BodyTextIndent2"/>
        <w:jc w:val="both"/>
        <w:rPr>
          <w:b/>
        </w:rPr>
      </w:pPr>
      <w:r w:rsidRPr="00987C06">
        <w:rPr>
          <w:b/>
        </w:rPr>
        <w:t>Q.</w:t>
      </w:r>
      <w:r w:rsidRPr="00987C06">
        <w:rPr>
          <w:b/>
        </w:rPr>
        <w:tab/>
        <w:t xml:space="preserve">What is the purpose of your </w:t>
      </w:r>
      <w:r w:rsidR="00565A4B">
        <w:rPr>
          <w:b/>
        </w:rPr>
        <w:t xml:space="preserve">cross-rebuttal </w:t>
      </w:r>
      <w:r w:rsidRPr="00987C06">
        <w:rPr>
          <w:b/>
        </w:rPr>
        <w:t xml:space="preserve">testimony in this case, </w:t>
      </w:r>
      <w:r w:rsidR="00A13344">
        <w:rPr>
          <w:b/>
        </w:rPr>
        <w:t>Commission</w:t>
      </w:r>
      <w:r w:rsidRPr="00987C06">
        <w:rPr>
          <w:b/>
        </w:rPr>
        <w:t xml:space="preserve"> Docket No. </w:t>
      </w:r>
      <w:r w:rsidR="00777972">
        <w:rPr>
          <w:b/>
        </w:rPr>
        <w:t>49421</w:t>
      </w:r>
      <w:r w:rsidRPr="00987C06">
        <w:rPr>
          <w:b/>
        </w:rPr>
        <w:t xml:space="preserve"> and SOAH Docket No. 473-</w:t>
      </w:r>
      <w:r w:rsidR="00777972">
        <w:rPr>
          <w:b/>
        </w:rPr>
        <w:t>19-3864</w:t>
      </w:r>
      <w:r w:rsidR="005F1982" w:rsidRPr="00987C06">
        <w:rPr>
          <w:b/>
        </w:rPr>
        <w:t xml:space="preserve">, </w:t>
      </w:r>
      <w:r w:rsidR="000B01E4" w:rsidRPr="00987C06">
        <w:rPr>
          <w:b/>
          <w:i/>
        </w:rPr>
        <w:t xml:space="preserve">Application of </w:t>
      </w:r>
      <w:r w:rsidR="00777972">
        <w:rPr>
          <w:b/>
          <w:i/>
        </w:rPr>
        <w:t>CenterPoint Energy Houston Electric, LLC for Authority to Change Rates</w:t>
      </w:r>
      <w:r w:rsidRPr="00987C06">
        <w:rPr>
          <w:b/>
          <w:i/>
        </w:rPr>
        <w:t>?</w:t>
      </w:r>
    </w:p>
    <w:p w:rsidR="00687707" w:rsidRPr="00987C06" w:rsidRDefault="00D804D8" w:rsidP="00687707">
      <w:pPr>
        <w:pStyle w:val="BodyTextIndent2"/>
        <w:jc w:val="both"/>
      </w:pPr>
      <w:r w:rsidRPr="00987C06">
        <w:t>A.</w:t>
      </w:r>
      <w:r w:rsidRPr="00987C06">
        <w:tab/>
        <w:t xml:space="preserve">My </w:t>
      </w:r>
      <w:r w:rsidR="00565A4B">
        <w:t>cross-rebuttal</w:t>
      </w:r>
      <w:r w:rsidR="000B01E4" w:rsidRPr="00987C06">
        <w:t xml:space="preserve"> testimony regarding the application of </w:t>
      </w:r>
      <w:r w:rsidR="00777972">
        <w:t>CenterPoint Energy Houston Electric, LLC</w:t>
      </w:r>
      <w:r w:rsidR="000B01E4" w:rsidRPr="00987C06">
        <w:t xml:space="preserve"> (</w:t>
      </w:r>
      <w:r w:rsidR="002644FF">
        <w:t>“</w:t>
      </w:r>
      <w:r w:rsidR="00777972">
        <w:t>CenterPoint</w:t>
      </w:r>
      <w:r w:rsidR="002644FF">
        <w:t>”</w:t>
      </w:r>
      <w:r w:rsidR="00873E31">
        <w:t xml:space="preserve"> </w:t>
      </w:r>
      <w:r w:rsidR="000B01E4" w:rsidRPr="00987C06">
        <w:t xml:space="preserve">or </w:t>
      </w:r>
      <w:r w:rsidR="002644FF">
        <w:t>“</w:t>
      </w:r>
      <w:r w:rsidR="000B01E4" w:rsidRPr="00987C06">
        <w:t>Company</w:t>
      </w:r>
      <w:r w:rsidR="002644FF">
        <w:t>”</w:t>
      </w:r>
      <w:r w:rsidR="000B01E4" w:rsidRPr="00987C06">
        <w:t>) will address</w:t>
      </w:r>
      <w:r w:rsidR="00A27D71">
        <w:t xml:space="preserve"> </w:t>
      </w:r>
      <w:r w:rsidR="00F14832">
        <w:t xml:space="preserve">certain </w:t>
      </w:r>
      <w:r w:rsidR="00A27D71">
        <w:t xml:space="preserve">issues raised in the Direct Testimony of </w:t>
      </w:r>
      <w:r w:rsidR="00F14832">
        <w:t xml:space="preserve">H-E-B, LP (“HEB”) witness </w:t>
      </w:r>
      <w:r w:rsidR="00A27D71">
        <w:t>George W. Presses,</w:t>
      </w:r>
      <w:r w:rsidR="00A27D71">
        <w:rPr>
          <w:rStyle w:val="FootnoteReference"/>
        </w:rPr>
        <w:footnoteReference w:id="1"/>
      </w:r>
      <w:r w:rsidR="00A27D71">
        <w:t xml:space="preserve"> </w:t>
      </w:r>
      <w:r w:rsidR="000C3B14">
        <w:t>and similar issues raised in the statement of position filed by Texas Competitive Power Advocates (“TCPA”),</w:t>
      </w:r>
      <w:r w:rsidR="000C3B14">
        <w:rPr>
          <w:rStyle w:val="FootnoteReference"/>
        </w:rPr>
        <w:footnoteReference w:id="2"/>
      </w:r>
      <w:r w:rsidR="000C3B14">
        <w:t xml:space="preserve"> </w:t>
      </w:r>
      <w:r w:rsidR="00F14832">
        <w:t>as well as certain issues raised in the Direct Testimony of Texas Industrial Energy Consumers (“TIEC”) witness Jeffry Pollock.</w:t>
      </w:r>
      <w:r w:rsidR="00F14832">
        <w:rPr>
          <w:rStyle w:val="FootnoteReference"/>
        </w:rPr>
        <w:footnoteReference w:id="3"/>
      </w:r>
      <w:r w:rsidR="00F14832">
        <w:t xml:space="preserve">  </w:t>
      </w:r>
      <w:r w:rsidR="00E2530B">
        <w:t>The issues raised by these witnesses are relevant to</w:t>
      </w:r>
      <w:r w:rsidR="000B01E4" w:rsidRPr="00987C06">
        <w:t xml:space="preserve"> the following item</w:t>
      </w:r>
      <w:r w:rsidR="00E2530B">
        <w:t>s</w:t>
      </w:r>
      <w:r w:rsidR="000B01E4" w:rsidRPr="00987C06">
        <w:t xml:space="preserve"> from the </w:t>
      </w:r>
      <w:r w:rsidR="00A6281F">
        <w:t>P</w:t>
      </w:r>
      <w:r w:rsidR="000B01E4" w:rsidRPr="00987C06">
        <w:t xml:space="preserve">reliminary </w:t>
      </w:r>
      <w:r w:rsidR="00A6281F">
        <w:t>O</w:t>
      </w:r>
      <w:r w:rsidR="000B01E4" w:rsidRPr="00987C06">
        <w:t>rder in this proceeding:</w:t>
      </w:r>
    </w:p>
    <w:p w:rsidR="00AE2B57" w:rsidRDefault="00777972" w:rsidP="00E2530B">
      <w:pPr>
        <w:pStyle w:val="IssueList"/>
      </w:pPr>
      <w:r>
        <w:t>What are</w:t>
      </w:r>
      <w:r w:rsidR="00E2530B">
        <w:t xml:space="preserve"> </w:t>
      </w:r>
      <w:r w:rsidR="00E2530B" w:rsidRPr="00E019A0">
        <w:rPr>
          <w:szCs w:val="24"/>
        </w:rPr>
        <w:t>CenterPoint’s</w:t>
      </w:r>
      <w:r w:rsidR="00E2530B">
        <w:rPr>
          <w:szCs w:val="24"/>
        </w:rPr>
        <w:t xml:space="preserve"> just and reasonable rates, calculated in accordance with PURA and Commission rules?  Do the rates comply with the requirements of PURA </w:t>
      </w:r>
      <w:r w:rsidR="00E2530B" w:rsidRPr="00987C06">
        <w:rPr>
          <w:szCs w:val="24"/>
        </w:rPr>
        <w:t>§ 36.003</w:t>
      </w:r>
      <w:r>
        <w:t>?</w:t>
      </w:r>
      <w:r w:rsidR="00A6281F" w:rsidRPr="00E36576">
        <w:rPr>
          <w:rStyle w:val="FootnoteReference"/>
        </w:rPr>
        <w:footnoteReference w:id="4"/>
      </w:r>
    </w:p>
    <w:p w:rsidR="00E2530B" w:rsidRDefault="00E2530B" w:rsidP="00E2530B">
      <w:pPr>
        <w:pStyle w:val="IssueList"/>
        <w:numPr>
          <w:ilvl w:val="0"/>
          <w:numId w:val="19"/>
        </w:numPr>
      </w:pPr>
      <w:r>
        <w:t>What are the appropriate allocations of CenterPoint’s revenue requirement to functions and rate classes?</w:t>
      </w:r>
    </w:p>
    <w:p w:rsidR="00C6144C" w:rsidRDefault="00E2530B" w:rsidP="00E2530B">
      <w:pPr>
        <w:pStyle w:val="Issuesublist"/>
        <w:numPr>
          <w:ilvl w:val="1"/>
          <w:numId w:val="19"/>
        </w:numPr>
      </w:pPr>
      <w:r>
        <w:t>… Do all allocation factors properly reflect the types of costs allocated?</w:t>
      </w:r>
    </w:p>
    <w:p w:rsidR="00E2530B" w:rsidRPr="00E36576" w:rsidRDefault="00E2530B" w:rsidP="009229B0">
      <w:pPr>
        <w:pStyle w:val="Issuesublist"/>
        <w:numPr>
          <w:ilvl w:val="0"/>
          <w:numId w:val="21"/>
        </w:numPr>
      </w:pPr>
      <w:r>
        <w:t>Are all rate classes at unity?  If not, what is the magnitude of the deviations, and what, if anything, should be done to address the lack of unity?</w:t>
      </w:r>
    </w:p>
    <w:p w:rsidR="00637BF5" w:rsidRPr="00987C06" w:rsidRDefault="00637BF5" w:rsidP="006B1B74">
      <w:pPr>
        <w:pStyle w:val="BodyTextIndent2"/>
        <w:jc w:val="both"/>
        <w:rPr>
          <w:b/>
          <w:szCs w:val="24"/>
        </w:rPr>
      </w:pPr>
      <w:r w:rsidRPr="00987C06">
        <w:rPr>
          <w:b/>
          <w:szCs w:val="24"/>
        </w:rPr>
        <w:t>Q.</w:t>
      </w:r>
      <w:r w:rsidRPr="00987C06">
        <w:rPr>
          <w:b/>
          <w:szCs w:val="24"/>
        </w:rPr>
        <w:tab/>
        <w:t>What items did you review to arrive at your recommendations?</w:t>
      </w:r>
    </w:p>
    <w:p w:rsidR="009229B0" w:rsidRDefault="00637BF5" w:rsidP="009229B0">
      <w:pPr>
        <w:pStyle w:val="BodyTextIndent2"/>
        <w:jc w:val="both"/>
        <w:rPr>
          <w:szCs w:val="24"/>
        </w:rPr>
      </w:pPr>
      <w:r w:rsidRPr="00987C06">
        <w:rPr>
          <w:szCs w:val="24"/>
        </w:rPr>
        <w:t>A.</w:t>
      </w:r>
      <w:r w:rsidRPr="00987C06">
        <w:rPr>
          <w:szCs w:val="24"/>
        </w:rPr>
        <w:tab/>
        <w:t xml:space="preserve">In </w:t>
      </w:r>
      <w:r w:rsidR="00C17654" w:rsidRPr="00987C06">
        <w:rPr>
          <w:szCs w:val="24"/>
        </w:rPr>
        <w:t xml:space="preserve">preparing my </w:t>
      </w:r>
      <w:r w:rsidR="00AE669E">
        <w:rPr>
          <w:szCs w:val="24"/>
        </w:rPr>
        <w:t xml:space="preserve">cross-rebuttal </w:t>
      </w:r>
      <w:r w:rsidR="00C17654" w:rsidRPr="00987C06">
        <w:rPr>
          <w:szCs w:val="24"/>
        </w:rPr>
        <w:t>testimony</w:t>
      </w:r>
      <w:r w:rsidR="00404619" w:rsidRPr="00987C06">
        <w:rPr>
          <w:szCs w:val="24"/>
        </w:rPr>
        <w:t xml:space="preserve"> on </w:t>
      </w:r>
      <w:r w:rsidR="00E33E5D">
        <w:rPr>
          <w:szCs w:val="24"/>
        </w:rPr>
        <w:t>these</w:t>
      </w:r>
      <w:r w:rsidR="00404619" w:rsidRPr="00987C06">
        <w:rPr>
          <w:szCs w:val="24"/>
        </w:rPr>
        <w:t xml:space="preserve"> issue</w:t>
      </w:r>
      <w:r w:rsidR="00E33E5D">
        <w:rPr>
          <w:szCs w:val="24"/>
        </w:rPr>
        <w:t>s</w:t>
      </w:r>
      <w:r w:rsidR="00C17654" w:rsidRPr="00987C06">
        <w:rPr>
          <w:szCs w:val="24"/>
        </w:rPr>
        <w:t xml:space="preserve">, I reviewed </w:t>
      </w:r>
      <w:r w:rsidR="00062F08">
        <w:rPr>
          <w:szCs w:val="24"/>
        </w:rPr>
        <w:t xml:space="preserve">portions of </w:t>
      </w:r>
      <w:r w:rsidR="00AE669E">
        <w:rPr>
          <w:szCs w:val="24"/>
        </w:rPr>
        <w:t>intervenor testimony</w:t>
      </w:r>
      <w:r w:rsidR="000C3B14">
        <w:rPr>
          <w:szCs w:val="24"/>
        </w:rPr>
        <w:t xml:space="preserve"> and statements of position</w:t>
      </w:r>
      <w:r w:rsidR="00AE669E">
        <w:rPr>
          <w:szCs w:val="24"/>
        </w:rPr>
        <w:t xml:space="preserve">, </w:t>
      </w:r>
      <w:r w:rsidR="00062F08">
        <w:rPr>
          <w:szCs w:val="24"/>
        </w:rPr>
        <w:t>CenterPoint</w:t>
      </w:r>
      <w:r w:rsidR="00174E5A" w:rsidRPr="00987C06">
        <w:rPr>
          <w:szCs w:val="24"/>
        </w:rPr>
        <w:t>’s</w:t>
      </w:r>
      <w:r w:rsidR="00603498" w:rsidRPr="00987C06">
        <w:rPr>
          <w:szCs w:val="24"/>
        </w:rPr>
        <w:t xml:space="preserve"> </w:t>
      </w:r>
      <w:r w:rsidR="00A722C1" w:rsidRPr="00987C06">
        <w:rPr>
          <w:szCs w:val="24"/>
        </w:rPr>
        <w:t xml:space="preserve">application and </w:t>
      </w:r>
      <w:r w:rsidR="008E0967" w:rsidRPr="00987C06">
        <w:rPr>
          <w:szCs w:val="24"/>
        </w:rPr>
        <w:t xml:space="preserve">direct </w:t>
      </w:r>
      <w:r w:rsidR="00174E5A" w:rsidRPr="00987C06">
        <w:rPr>
          <w:szCs w:val="24"/>
        </w:rPr>
        <w:t xml:space="preserve">testimony, </w:t>
      </w:r>
      <w:r w:rsidR="007D394F">
        <w:rPr>
          <w:szCs w:val="24"/>
        </w:rPr>
        <w:t xml:space="preserve">certain responses to requests for information, </w:t>
      </w:r>
      <w:r w:rsidR="00174E5A" w:rsidRPr="00987C06">
        <w:rPr>
          <w:szCs w:val="24"/>
        </w:rPr>
        <w:t>previous proceedings</w:t>
      </w:r>
      <w:r w:rsidR="00571C0B">
        <w:rPr>
          <w:szCs w:val="24"/>
        </w:rPr>
        <w:t xml:space="preserve"> and reports</w:t>
      </w:r>
      <w:r w:rsidR="00174E5A" w:rsidRPr="00987C06">
        <w:rPr>
          <w:szCs w:val="24"/>
        </w:rPr>
        <w:t xml:space="preserve"> before the Commission</w:t>
      </w:r>
      <w:r w:rsidR="002644FF">
        <w:rPr>
          <w:szCs w:val="24"/>
        </w:rPr>
        <w:t xml:space="preserve">, </w:t>
      </w:r>
      <w:r w:rsidR="00AE669E">
        <w:rPr>
          <w:szCs w:val="24"/>
        </w:rPr>
        <w:t xml:space="preserve">and </w:t>
      </w:r>
      <w:r w:rsidR="00D33E70">
        <w:rPr>
          <w:szCs w:val="24"/>
        </w:rPr>
        <w:t>certain Commission rules</w:t>
      </w:r>
      <w:r w:rsidR="00AE669E">
        <w:rPr>
          <w:szCs w:val="24"/>
        </w:rPr>
        <w:t>.</w:t>
      </w:r>
      <w:r w:rsidR="009229B0">
        <w:rPr>
          <w:szCs w:val="24"/>
        </w:rPr>
        <w:br w:type="page"/>
      </w:r>
    </w:p>
    <w:p w:rsidR="00DE273A" w:rsidRPr="00987C06" w:rsidRDefault="00DE273A" w:rsidP="00861195">
      <w:pPr>
        <w:pStyle w:val="BodyTextIndent2"/>
        <w:jc w:val="both"/>
        <w:rPr>
          <w:b/>
          <w:szCs w:val="24"/>
        </w:rPr>
      </w:pPr>
      <w:r w:rsidRPr="00987C06">
        <w:rPr>
          <w:b/>
          <w:szCs w:val="24"/>
        </w:rPr>
        <w:t>Q.</w:t>
      </w:r>
      <w:r w:rsidRPr="00987C06">
        <w:rPr>
          <w:b/>
          <w:szCs w:val="24"/>
        </w:rPr>
        <w:tab/>
        <w:t>What is the basis for your review?</w:t>
      </w:r>
    </w:p>
    <w:p w:rsidR="002019E3" w:rsidRDefault="00DE273A" w:rsidP="00CC0918">
      <w:pPr>
        <w:pStyle w:val="BodyTextIndent2"/>
        <w:jc w:val="both"/>
        <w:rPr>
          <w:szCs w:val="24"/>
        </w:rPr>
      </w:pPr>
      <w:r w:rsidRPr="00987C06">
        <w:rPr>
          <w:szCs w:val="24"/>
        </w:rPr>
        <w:t>A.</w:t>
      </w:r>
      <w:r w:rsidRPr="00987C06">
        <w:rPr>
          <w:szCs w:val="24"/>
        </w:rPr>
        <w:tab/>
      </w:r>
      <w:r w:rsidR="00A13344">
        <w:rPr>
          <w:szCs w:val="24"/>
        </w:rPr>
        <w:t>Public Utility Regulatory Act</w:t>
      </w:r>
      <w:r w:rsidR="00A13344">
        <w:rPr>
          <w:rStyle w:val="FootnoteReference"/>
          <w:szCs w:val="24"/>
        </w:rPr>
        <w:footnoteReference w:id="5"/>
      </w:r>
      <w:r w:rsidR="00A13344">
        <w:rPr>
          <w:szCs w:val="24"/>
        </w:rPr>
        <w:t xml:space="preserve"> (</w:t>
      </w:r>
      <w:r w:rsidR="002644FF">
        <w:rPr>
          <w:szCs w:val="24"/>
        </w:rPr>
        <w:t>“</w:t>
      </w:r>
      <w:r w:rsidRPr="00987C06">
        <w:rPr>
          <w:szCs w:val="24"/>
        </w:rPr>
        <w:t>PURA</w:t>
      </w:r>
      <w:r w:rsidR="002644FF">
        <w:rPr>
          <w:szCs w:val="24"/>
        </w:rPr>
        <w:t>”</w:t>
      </w:r>
      <w:r w:rsidR="00A13344">
        <w:rPr>
          <w:szCs w:val="24"/>
        </w:rPr>
        <w:t>)</w:t>
      </w:r>
      <w:r w:rsidRPr="00987C06">
        <w:rPr>
          <w:szCs w:val="24"/>
        </w:rPr>
        <w:t xml:space="preserve"> § 36.003(a) </w:t>
      </w:r>
      <w:r w:rsidR="004A3A1E">
        <w:rPr>
          <w:szCs w:val="24"/>
        </w:rPr>
        <w:t>requires</w:t>
      </w:r>
      <w:r w:rsidRPr="00987C06">
        <w:rPr>
          <w:szCs w:val="24"/>
        </w:rPr>
        <w:t xml:space="preserve"> that the Commission “shall ensure that each rate an electric utility or two or more electric utilities jointly make, demand, or receive is just and reasonable.”  </w:t>
      </w:r>
      <w:r w:rsidR="00AE669E" w:rsidRPr="00987C06">
        <w:rPr>
          <w:szCs w:val="24"/>
        </w:rPr>
        <w:t>PURA</w:t>
      </w:r>
      <w:r w:rsidR="00AE669E">
        <w:rPr>
          <w:szCs w:val="24"/>
        </w:rPr>
        <w:t xml:space="preserve"> </w:t>
      </w:r>
      <w:r w:rsidR="00AE669E" w:rsidRPr="00987C06">
        <w:rPr>
          <w:szCs w:val="24"/>
        </w:rPr>
        <w:t>§ 36.003(</w:t>
      </w:r>
      <w:r w:rsidR="00AE669E">
        <w:rPr>
          <w:szCs w:val="24"/>
        </w:rPr>
        <w:t>b</w:t>
      </w:r>
      <w:r w:rsidR="00AE669E" w:rsidRPr="00987C06">
        <w:rPr>
          <w:szCs w:val="24"/>
        </w:rPr>
        <w:t>) states that</w:t>
      </w:r>
      <w:r w:rsidR="00AE669E">
        <w:rPr>
          <w:szCs w:val="24"/>
        </w:rPr>
        <w:t xml:space="preserve"> a rate “may not be unreasonably preferential, prejudicial, or discriminatory but must be sufficient, equitable, and consistent in application to each class of customer.”  </w:t>
      </w:r>
      <w:r w:rsidR="007D394F" w:rsidRPr="00987C06">
        <w:rPr>
          <w:szCs w:val="24"/>
        </w:rPr>
        <w:t>PURA §</w:t>
      </w:r>
      <w:r w:rsidR="007D394F">
        <w:rPr>
          <w:szCs w:val="24"/>
        </w:rPr>
        <w:t> </w:t>
      </w:r>
      <w:r w:rsidR="007D394F" w:rsidRPr="00987C06">
        <w:rPr>
          <w:szCs w:val="24"/>
        </w:rPr>
        <w:t>36.0</w:t>
      </w:r>
      <w:r w:rsidR="00AE669E">
        <w:rPr>
          <w:szCs w:val="24"/>
        </w:rPr>
        <w:t>55</w:t>
      </w:r>
      <w:r w:rsidR="007D394F" w:rsidRPr="00987C06">
        <w:rPr>
          <w:szCs w:val="24"/>
        </w:rPr>
        <w:t xml:space="preserve"> states: “</w:t>
      </w:r>
      <w:r w:rsidR="00AE669E">
        <w:rPr>
          <w:szCs w:val="24"/>
        </w:rPr>
        <w:t>Costs of facilities, revenues, expenses, taxes, and reserves shall be separated or allocated as prescribed by the regulatory authority</w:t>
      </w:r>
      <w:r w:rsidR="007D394F" w:rsidRPr="00987C06">
        <w:rPr>
          <w:szCs w:val="24"/>
        </w:rPr>
        <w:t>.”</w:t>
      </w:r>
      <w:r w:rsidR="0025383B">
        <w:rPr>
          <w:szCs w:val="24"/>
        </w:rPr>
        <w:t xml:space="preserve">  PURA </w:t>
      </w:r>
      <w:r w:rsidR="0025383B" w:rsidRPr="00987C06">
        <w:rPr>
          <w:szCs w:val="24"/>
        </w:rPr>
        <w:t>§</w:t>
      </w:r>
      <w:r w:rsidR="0025383B">
        <w:rPr>
          <w:szCs w:val="24"/>
        </w:rPr>
        <w:t> </w:t>
      </w:r>
      <w:r w:rsidR="00CC0918">
        <w:rPr>
          <w:szCs w:val="24"/>
        </w:rPr>
        <w:t>35.004(d)</w:t>
      </w:r>
      <w:r w:rsidR="0025383B">
        <w:rPr>
          <w:szCs w:val="24"/>
        </w:rPr>
        <w:t xml:space="preserve"> states:</w:t>
      </w:r>
    </w:p>
    <w:p w:rsidR="0025383B" w:rsidRDefault="00CC0918" w:rsidP="002019E3">
      <w:pPr>
        <w:pStyle w:val="BodyTextIndent2"/>
        <w:spacing w:line="240" w:lineRule="auto"/>
        <w:ind w:left="1440" w:right="720" w:firstLine="0"/>
        <w:jc w:val="both"/>
        <w:rPr>
          <w:szCs w:val="24"/>
        </w:rPr>
      </w:pPr>
      <w:r>
        <w:rPr>
          <w:szCs w:val="24"/>
        </w:rPr>
        <w:t xml:space="preserve">The commission shall price wholesale transmission services within </w:t>
      </w:r>
      <w:r w:rsidR="002019E3">
        <w:rPr>
          <w:szCs w:val="24"/>
        </w:rPr>
        <w:t>ERCOT based on the postage stamp method of pricing under which a transmission-owning utility’s rate is based on the… annual costs of transmission divided by the total demand placed on the combined transmission systems of all such transmission-owning utilities within a power region.</w:t>
      </w:r>
    </w:p>
    <w:p w:rsidR="00E36576" w:rsidRDefault="00E36576" w:rsidP="0025383B">
      <w:pPr>
        <w:pStyle w:val="BodyTextIndent2"/>
        <w:spacing w:line="240" w:lineRule="auto"/>
        <w:ind w:left="1440" w:right="720"/>
        <w:jc w:val="both"/>
        <w:rPr>
          <w:szCs w:val="24"/>
        </w:rPr>
      </w:pPr>
    </w:p>
    <w:p w:rsidR="002019E3" w:rsidRDefault="002019E3" w:rsidP="002019E3">
      <w:pPr>
        <w:pStyle w:val="BodyTextIndent2"/>
        <w:ind w:firstLine="0"/>
        <w:jc w:val="both"/>
        <w:rPr>
          <w:szCs w:val="24"/>
        </w:rPr>
      </w:pPr>
      <w:r>
        <w:rPr>
          <w:szCs w:val="24"/>
        </w:rPr>
        <w:t xml:space="preserve">PURA </w:t>
      </w:r>
      <w:r w:rsidRPr="00987C06">
        <w:rPr>
          <w:szCs w:val="24"/>
        </w:rPr>
        <w:t>§</w:t>
      </w:r>
      <w:r>
        <w:rPr>
          <w:szCs w:val="24"/>
        </w:rPr>
        <w:t> </w:t>
      </w:r>
      <w:r w:rsidRPr="00987C06">
        <w:rPr>
          <w:szCs w:val="24"/>
        </w:rPr>
        <w:t>36.0</w:t>
      </w:r>
      <w:r>
        <w:rPr>
          <w:szCs w:val="24"/>
        </w:rPr>
        <w:t>51 states:</w:t>
      </w:r>
    </w:p>
    <w:p w:rsidR="002019E3" w:rsidRDefault="002019E3" w:rsidP="002019E3">
      <w:pPr>
        <w:pStyle w:val="BodyTextIndent2"/>
        <w:spacing w:line="240" w:lineRule="auto"/>
        <w:ind w:left="1440" w:right="720"/>
        <w:jc w:val="both"/>
        <w:rPr>
          <w:szCs w:val="24"/>
        </w:rPr>
      </w:pPr>
      <w:r>
        <w:rPr>
          <w:szCs w:val="24"/>
        </w:rPr>
        <w:tab/>
        <w:t>In establishing an electric utility’s rates, the regulatory authority shall establish the utility’s overall revenues at an amount that will permit the utility a reasonable opportunity to earn a reasonable return on the utility’s invested capital used and useful in providing service to the public in excess of the utility’s reasonable and necessary operating expenses.</w:t>
      </w:r>
    </w:p>
    <w:p w:rsidR="002019E3" w:rsidRDefault="002019E3" w:rsidP="00DC2CFD">
      <w:pPr>
        <w:pStyle w:val="BodyTextIndent2"/>
        <w:ind w:firstLine="0"/>
        <w:jc w:val="both"/>
        <w:rPr>
          <w:szCs w:val="24"/>
        </w:rPr>
      </w:pPr>
    </w:p>
    <w:p w:rsidR="002019E3" w:rsidRDefault="002019E3" w:rsidP="00DC2CFD">
      <w:pPr>
        <w:pStyle w:val="BodyTextIndent2"/>
        <w:ind w:firstLine="0"/>
        <w:jc w:val="both"/>
        <w:rPr>
          <w:szCs w:val="24"/>
        </w:rPr>
      </w:pPr>
      <w:r>
        <w:rPr>
          <w:szCs w:val="24"/>
        </w:rPr>
        <w:t xml:space="preserve">PURA </w:t>
      </w:r>
      <w:r w:rsidRPr="00987C06">
        <w:rPr>
          <w:szCs w:val="24"/>
        </w:rPr>
        <w:t>§</w:t>
      </w:r>
      <w:r>
        <w:rPr>
          <w:szCs w:val="24"/>
        </w:rPr>
        <w:t> </w:t>
      </w:r>
      <w:r w:rsidRPr="00987C06">
        <w:rPr>
          <w:szCs w:val="24"/>
        </w:rPr>
        <w:t>36.0</w:t>
      </w:r>
      <w:r>
        <w:rPr>
          <w:szCs w:val="24"/>
        </w:rPr>
        <w:t xml:space="preserve">53(a) states:  “Electric utility rates shall be based on the original cost, less depreciation, of property used by and useful to the utility in providing service.”  </w:t>
      </w:r>
    </w:p>
    <w:p w:rsidR="00CC3F06" w:rsidRDefault="00064D40" w:rsidP="004A3A1E">
      <w:pPr>
        <w:pStyle w:val="BodyTextIndent2"/>
        <w:ind w:firstLine="720"/>
        <w:jc w:val="both"/>
        <w:rPr>
          <w:szCs w:val="24"/>
        </w:rPr>
      </w:pPr>
      <w:r>
        <w:rPr>
          <w:szCs w:val="24"/>
        </w:rPr>
        <w:t xml:space="preserve">Under </w:t>
      </w:r>
      <w:r w:rsidR="00DE273A" w:rsidRPr="00987C06">
        <w:rPr>
          <w:szCs w:val="24"/>
        </w:rPr>
        <w:t>16 TAC §</w:t>
      </w:r>
      <w:r>
        <w:rPr>
          <w:szCs w:val="24"/>
        </w:rPr>
        <w:t> </w:t>
      </w:r>
      <w:r w:rsidR="00DE273A" w:rsidRPr="00987C06">
        <w:rPr>
          <w:szCs w:val="24"/>
        </w:rPr>
        <w:t>25.234</w:t>
      </w:r>
      <w:r w:rsidR="00E33E5D">
        <w:rPr>
          <w:szCs w:val="24"/>
        </w:rPr>
        <w:t>(a)</w:t>
      </w:r>
      <w:r w:rsidR="00DE273A" w:rsidRPr="00987C06">
        <w:rPr>
          <w:szCs w:val="24"/>
        </w:rPr>
        <w:t xml:space="preserve">, relating to Rate Design, rates “shall not be unreasonably preferential, prejudicial, or discriminatory, but shall be sufficient, equitable, and consistent in application to each class of customers, and shall be based on cost.”  </w:t>
      </w:r>
      <w:r w:rsidR="004A3A1E" w:rsidRPr="00987C06">
        <w:rPr>
          <w:szCs w:val="24"/>
        </w:rPr>
        <w:t>16 TAC §</w:t>
      </w:r>
      <w:r w:rsidR="004A3A1E">
        <w:rPr>
          <w:szCs w:val="24"/>
        </w:rPr>
        <w:t xml:space="preserve"> 25.192(b)(1) implements PURA </w:t>
      </w:r>
      <w:r w:rsidR="004A3A1E" w:rsidRPr="00987C06">
        <w:rPr>
          <w:szCs w:val="24"/>
        </w:rPr>
        <w:t>§</w:t>
      </w:r>
      <w:r w:rsidR="004A3A1E">
        <w:rPr>
          <w:szCs w:val="24"/>
        </w:rPr>
        <w:t> 35.004(d), and requires:</w:t>
      </w:r>
    </w:p>
    <w:p w:rsidR="004A3A1E" w:rsidRPr="00987C06" w:rsidRDefault="004A3A1E" w:rsidP="004A3A1E">
      <w:pPr>
        <w:pStyle w:val="BodyTextIndent2"/>
        <w:spacing w:line="240" w:lineRule="auto"/>
        <w:ind w:left="1440" w:right="720" w:firstLine="0"/>
        <w:jc w:val="both"/>
        <w:rPr>
          <w:szCs w:val="24"/>
        </w:rPr>
      </w:pPr>
      <w:r>
        <w:rPr>
          <w:szCs w:val="24"/>
        </w:rPr>
        <w:t xml:space="preserve">A TSP’s transmission rate shall be calculated as its commission-approved transmission cost of service divided by the average of ERCOT coincident peak demand for the months of June, July, August and September (4CP) . . . .  The monthly transmission service charge to be paid by each DSP is the product of each TSP’s monthly rate as specified in its tariff and the DSP’s previous year’s average of the 4CP demand that is coincident with the ERCOT 4CP. </w:t>
      </w:r>
    </w:p>
    <w:p w:rsidR="00174E5A" w:rsidRDefault="00174E5A" w:rsidP="00480381">
      <w:pPr>
        <w:pStyle w:val="BodyTextIndent2"/>
        <w:jc w:val="both"/>
        <w:rPr>
          <w:szCs w:val="24"/>
        </w:rPr>
      </w:pPr>
    </w:p>
    <w:p w:rsidR="00E31D60" w:rsidRDefault="00E31D60" w:rsidP="00480381">
      <w:pPr>
        <w:pStyle w:val="BodyTextIndent2"/>
        <w:jc w:val="both"/>
        <w:rPr>
          <w:szCs w:val="24"/>
        </w:rPr>
      </w:pPr>
      <w:r>
        <w:rPr>
          <w:szCs w:val="24"/>
        </w:rPr>
        <w:tab/>
      </w:r>
      <w:r w:rsidRPr="00987C06">
        <w:rPr>
          <w:szCs w:val="24"/>
        </w:rPr>
        <w:t>16 TAC §</w:t>
      </w:r>
      <w:r>
        <w:rPr>
          <w:szCs w:val="24"/>
        </w:rPr>
        <w:t xml:space="preserve"> 25.192(c), implementing PURA </w:t>
      </w:r>
      <w:r w:rsidRPr="00987C06">
        <w:rPr>
          <w:szCs w:val="24"/>
        </w:rPr>
        <w:t>§</w:t>
      </w:r>
      <w:r>
        <w:rPr>
          <w:szCs w:val="24"/>
        </w:rPr>
        <w:t> </w:t>
      </w:r>
      <w:r w:rsidRPr="00987C06">
        <w:rPr>
          <w:szCs w:val="24"/>
        </w:rPr>
        <w:t>36.0</w:t>
      </w:r>
      <w:r>
        <w:rPr>
          <w:szCs w:val="24"/>
        </w:rPr>
        <w:t>51 for wholesale transmission rates, requires that:</w:t>
      </w:r>
    </w:p>
    <w:p w:rsidR="00E31D60" w:rsidRDefault="00E31D60" w:rsidP="009229B0">
      <w:pPr>
        <w:pStyle w:val="BodyTextIndent2"/>
        <w:spacing w:line="240" w:lineRule="auto"/>
        <w:ind w:left="1440" w:right="720"/>
        <w:jc w:val="both"/>
        <w:rPr>
          <w:szCs w:val="24"/>
        </w:rPr>
      </w:pPr>
      <w:r>
        <w:rPr>
          <w:szCs w:val="24"/>
        </w:rPr>
        <w:tab/>
        <w:t>The transmission cost of service for each TSP shall be based on the expenses in Federal Energy Regulatory Commission (FERC) expense accounts 560-573 … plus the depreciation, federal income tax, and other associated taxes, and the commission-allowed rate of return based on FERC plant accounts 350-359…</w:t>
      </w:r>
      <w:r>
        <w:rPr>
          <w:szCs w:val="24"/>
        </w:rPr>
        <w:tab/>
      </w:r>
    </w:p>
    <w:p w:rsidR="00E31D60" w:rsidRDefault="00E31D60" w:rsidP="00480381">
      <w:pPr>
        <w:pStyle w:val="BodyTextIndent2"/>
        <w:jc w:val="both"/>
        <w:rPr>
          <w:szCs w:val="24"/>
        </w:rPr>
      </w:pPr>
    </w:p>
    <w:p w:rsidR="00744BF5" w:rsidRPr="00987C06" w:rsidRDefault="00CB6AB0" w:rsidP="00480381">
      <w:pPr>
        <w:pStyle w:val="Heading1"/>
        <w:numPr>
          <w:ilvl w:val="0"/>
          <w:numId w:val="1"/>
        </w:numPr>
        <w:tabs>
          <w:tab w:val="clear" w:pos="720"/>
          <w:tab w:val="num" w:pos="1080"/>
        </w:tabs>
        <w:spacing w:line="480" w:lineRule="auto"/>
        <w:jc w:val="both"/>
        <w:rPr>
          <w:sz w:val="24"/>
          <w:szCs w:val="24"/>
        </w:rPr>
      </w:pPr>
      <w:bookmarkStart w:id="7" w:name="_Toc11826696"/>
      <w:r w:rsidRPr="00987C06">
        <w:rPr>
          <w:sz w:val="24"/>
          <w:szCs w:val="24"/>
        </w:rPr>
        <w:t xml:space="preserve">SUMMARY OF </w:t>
      </w:r>
      <w:r w:rsidR="00744BF5" w:rsidRPr="00987C06">
        <w:rPr>
          <w:sz w:val="24"/>
          <w:szCs w:val="24"/>
        </w:rPr>
        <w:t>RECOMMENDATION</w:t>
      </w:r>
      <w:r w:rsidR="00DC1B45" w:rsidRPr="00987C06">
        <w:rPr>
          <w:sz w:val="24"/>
          <w:szCs w:val="24"/>
        </w:rPr>
        <w:t>S</w:t>
      </w:r>
      <w:bookmarkEnd w:id="7"/>
    </w:p>
    <w:p w:rsidR="00744BF5" w:rsidRPr="00987C06" w:rsidRDefault="00D20CC9" w:rsidP="00480381">
      <w:pPr>
        <w:spacing w:line="480" w:lineRule="auto"/>
        <w:rPr>
          <w:b/>
          <w:sz w:val="24"/>
          <w:szCs w:val="24"/>
        </w:rPr>
      </w:pPr>
      <w:r w:rsidRPr="00987C06">
        <w:rPr>
          <w:b/>
          <w:sz w:val="24"/>
          <w:szCs w:val="24"/>
        </w:rPr>
        <w:t>Q.</w:t>
      </w:r>
      <w:r w:rsidRPr="00987C06">
        <w:rPr>
          <w:b/>
          <w:sz w:val="24"/>
          <w:szCs w:val="24"/>
        </w:rPr>
        <w:tab/>
        <w:t xml:space="preserve">What </w:t>
      </w:r>
      <w:r w:rsidR="00404619" w:rsidRPr="00987C06">
        <w:rPr>
          <w:b/>
          <w:sz w:val="24"/>
          <w:szCs w:val="24"/>
        </w:rPr>
        <w:t>is</w:t>
      </w:r>
      <w:r w:rsidRPr="00987C06">
        <w:rPr>
          <w:b/>
          <w:sz w:val="24"/>
          <w:szCs w:val="24"/>
        </w:rPr>
        <w:t xml:space="preserve"> your recommendation?</w:t>
      </w:r>
    </w:p>
    <w:p w:rsidR="002C7690" w:rsidRDefault="00CB6AB0" w:rsidP="003C2979">
      <w:pPr>
        <w:spacing w:line="480" w:lineRule="auto"/>
        <w:ind w:left="720" w:hanging="720"/>
        <w:jc w:val="both"/>
        <w:rPr>
          <w:sz w:val="24"/>
          <w:szCs w:val="24"/>
        </w:rPr>
      </w:pPr>
      <w:r w:rsidRPr="00987C06">
        <w:rPr>
          <w:sz w:val="24"/>
          <w:szCs w:val="24"/>
        </w:rPr>
        <w:t>A.</w:t>
      </w:r>
      <w:r w:rsidRPr="00987C06">
        <w:rPr>
          <w:sz w:val="24"/>
          <w:szCs w:val="24"/>
        </w:rPr>
        <w:tab/>
      </w:r>
      <w:r w:rsidR="002C7690">
        <w:rPr>
          <w:sz w:val="24"/>
          <w:szCs w:val="24"/>
        </w:rPr>
        <w:t>TIEC witness Pollock opposes CenterPoint’s “zeroing out” the Transmission Cost Recovery Factor (“TCRF”) rider by moving wholesale transmission expenses into the base rate Transmission Service Charge, and he additionally claims that extreme “cost-shifting” resulting in rate shock will occur unless the update to the 4CP allocation factor is “moderated.”  While Mr. Pollock raises some legitimate concerns regarding the current TCRF rule that may warrant Commission consideration of a rulemaking proceeding, I recommend that the Commission reject his proposal to “moderat</w:t>
      </w:r>
      <w:r w:rsidR="009229B0">
        <w:rPr>
          <w:sz w:val="24"/>
          <w:szCs w:val="24"/>
        </w:rPr>
        <w:t>e</w:t>
      </w:r>
      <w:r w:rsidR="002C7690">
        <w:rPr>
          <w:sz w:val="24"/>
          <w:szCs w:val="24"/>
        </w:rPr>
        <w:t>” the update to the 4CP allocation factor.</w:t>
      </w:r>
      <w:r w:rsidR="009229B0">
        <w:rPr>
          <w:sz w:val="24"/>
          <w:szCs w:val="24"/>
        </w:rPr>
        <w:t xml:space="preserve">  Rates should be set at cost.</w:t>
      </w:r>
      <w:r w:rsidR="002C7690">
        <w:rPr>
          <w:sz w:val="24"/>
          <w:szCs w:val="24"/>
        </w:rPr>
        <w:t xml:space="preserve">  Furthermore, CenterPoint’s “zeroing out” the TCRF rider is consistent with precedent, and in fact serves to mitigate the “cost-shifting” or “rate shock” that Mr. Pollock claims is a concern under the current TCRF rule</w:t>
      </w:r>
      <w:r w:rsidR="00B73ED1">
        <w:rPr>
          <w:sz w:val="24"/>
          <w:szCs w:val="24"/>
        </w:rPr>
        <w:t>.</w:t>
      </w:r>
      <w:r w:rsidR="002C7690">
        <w:rPr>
          <w:sz w:val="24"/>
          <w:szCs w:val="24"/>
        </w:rPr>
        <w:t xml:space="preserve"> </w:t>
      </w:r>
      <w:r w:rsidR="00B73ED1">
        <w:rPr>
          <w:sz w:val="24"/>
          <w:szCs w:val="24"/>
        </w:rPr>
        <w:t xml:space="preserve"> Accordingly</w:t>
      </w:r>
      <w:r w:rsidR="002C7690">
        <w:rPr>
          <w:sz w:val="24"/>
          <w:szCs w:val="24"/>
        </w:rPr>
        <w:t xml:space="preserve">, I recommend that the Commission reject TIEC’s proposal to move </w:t>
      </w:r>
      <w:r w:rsidR="00B73ED1">
        <w:rPr>
          <w:sz w:val="24"/>
          <w:szCs w:val="24"/>
        </w:rPr>
        <w:t>the entirety of</w:t>
      </w:r>
      <w:r w:rsidR="002C7690">
        <w:rPr>
          <w:sz w:val="24"/>
          <w:szCs w:val="24"/>
        </w:rPr>
        <w:t xml:space="preserve"> wholesale transmission expense recovery into the TCRF rider.</w:t>
      </w:r>
    </w:p>
    <w:p w:rsidR="003C2979" w:rsidRDefault="000C34B9" w:rsidP="002C7690">
      <w:pPr>
        <w:spacing w:line="480" w:lineRule="auto"/>
        <w:ind w:left="720" w:firstLine="720"/>
        <w:jc w:val="both"/>
        <w:rPr>
          <w:sz w:val="24"/>
          <w:szCs w:val="24"/>
        </w:rPr>
      </w:pPr>
      <w:r>
        <w:rPr>
          <w:sz w:val="24"/>
          <w:szCs w:val="24"/>
        </w:rPr>
        <w:t xml:space="preserve">HEB’s testimony and TCPA’s position on 4CP allocation issues appear at times to confuse </w:t>
      </w:r>
      <w:r>
        <w:rPr>
          <w:i/>
          <w:sz w:val="24"/>
          <w:szCs w:val="24"/>
        </w:rPr>
        <w:t>cost allocation</w:t>
      </w:r>
      <w:r>
        <w:rPr>
          <w:sz w:val="24"/>
          <w:szCs w:val="24"/>
        </w:rPr>
        <w:t xml:space="preserve"> with </w:t>
      </w:r>
      <w:r>
        <w:rPr>
          <w:i/>
          <w:sz w:val="24"/>
          <w:szCs w:val="24"/>
        </w:rPr>
        <w:t>rate design</w:t>
      </w:r>
      <w:r>
        <w:rPr>
          <w:sz w:val="24"/>
          <w:szCs w:val="24"/>
        </w:rPr>
        <w:t xml:space="preserve">, as their proposals regarding “cost allocation” appear to be motivated by </w:t>
      </w:r>
      <w:r w:rsidR="006F149A">
        <w:rPr>
          <w:sz w:val="24"/>
          <w:szCs w:val="24"/>
        </w:rPr>
        <w:t>concerns</w:t>
      </w:r>
      <w:r>
        <w:rPr>
          <w:sz w:val="24"/>
          <w:szCs w:val="24"/>
        </w:rPr>
        <w:t xml:space="preserve"> that arise due to 4CP </w:t>
      </w:r>
      <w:r w:rsidRPr="006F149A">
        <w:rPr>
          <w:i/>
          <w:sz w:val="24"/>
          <w:szCs w:val="24"/>
        </w:rPr>
        <w:t>rate design</w:t>
      </w:r>
      <w:r>
        <w:rPr>
          <w:sz w:val="24"/>
          <w:szCs w:val="24"/>
        </w:rPr>
        <w:t xml:space="preserve">.  HEB’s and TCPA’s recommendations that </w:t>
      </w:r>
      <w:r>
        <w:rPr>
          <w:i/>
          <w:sz w:val="24"/>
          <w:szCs w:val="24"/>
        </w:rPr>
        <w:t>transmission</w:t>
      </w:r>
      <w:r>
        <w:rPr>
          <w:sz w:val="24"/>
          <w:szCs w:val="24"/>
        </w:rPr>
        <w:t xml:space="preserve"> costs be allocated based on a non-coincident peak (“NCP”) basis is inconsistent with cost causation and Commission precedent, and should be rejected</w:t>
      </w:r>
      <w:r w:rsidR="003C2979">
        <w:rPr>
          <w:sz w:val="24"/>
          <w:szCs w:val="24"/>
        </w:rPr>
        <w:t xml:space="preserve">; however, their recommendation that </w:t>
      </w:r>
      <w:r w:rsidR="003C2979">
        <w:rPr>
          <w:i/>
          <w:sz w:val="24"/>
          <w:szCs w:val="24"/>
        </w:rPr>
        <w:t>distribution</w:t>
      </w:r>
      <w:r w:rsidR="003C2979">
        <w:rPr>
          <w:sz w:val="24"/>
          <w:szCs w:val="24"/>
        </w:rPr>
        <w:t xml:space="preserve"> costs be allocated based on NCP is </w:t>
      </w:r>
      <w:r w:rsidR="00571C0B">
        <w:rPr>
          <w:sz w:val="24"/>
          <w:szCs w:val="24"/>
        </w:rPr>
        <w:t>reasonable</w:t>
      </w:r>
      <w:r w:rsidR="003C2979">
        <w:rPr>
          <w:sz w:val="24"/>
          <w:szCs w:val="24"/>
        </w:rPr>
        <w:t xml:space="preserve">, as </w:t>
      </w:r>
      <w:r w:rsidR="00D542ED">
        <w:rPr>
          <w:sz w:val="24"/>
          <w:szCs w:val="24"/>
        </w:rPr>
        <w:t xml:space="preserve">such an allocation </w:t>
      </w:r>
      <w:r w:rsidR="003C2979">
        <w:rPr>
          <w:sz w:val="24"/>
          <w:szCs w:val="24"/>
        </w:rPr>
        <w:t xml:space="preserve">is consistent with cost causation and Commission precedent.  Furthermore, contrary to HEB and TCPA’s contentions, there is no inappropriate </w:t>
      </w:r>
      <w:r w:rsidR="00D542ED">
        <w:rPr>
          <w:sz w:val="24"/>
          <w:szCs w:val="24"/>
        </w:rPr>
        <w:t xml:space="preserve">cost shifting or </w:t>
      </w:r>
      <w:r w:rsidR="003C2979">
        <w:rPr>
          <w:sz w:val="24"/>
          <w:szCs w:val="24"/>
        </w:rPr>
        <w:t xml:space="preserve">energy market “distortion” associated with a coincident peak (“CP”) rate design for </w:t>
      </w:r>
      <w:r w:rsidR="003C2979" w:rsidRPr="00D542ED">
        <w:rPr>
          <w:i/>
          <w:sz w:val="24"/>
          <w:szCs w:val="24"/>
        </w:rPr>
        <w:t>transmission charges</w:t>
      </w:r>
      <w:r w:rsidR="003C2979">
        <w:rPr>
          <w:sz w:val="24"/>
          <w:szCs w:val="24"/>
        </w:rPr>
        <w:t xml:space="preserve">, including the 4CP </w:t>
      </w:r>
      <w:r w:rsidR="003C2979" w:rsidRPr="003C2979">
        <w:rPr>
          <w:i/>
          <w:sz w:val="24"/>
          <w:szCs w:val="24"/>
        </w:rPr>
        <w:t>transmission charge</w:t>
      </w:r>
      <w:r w:rsidR="003C2979">
        <w:rPr>
          <w:sz w:val="24"/>
          <w:szCs w:val="24"/>
        </w:rPr>
        <w:t xml:space="preserve"> rate design proposed by CenterPoint; however, there is some merit to their apparent concerns with CenterPoint’s 4CP rate design for </w:t>
      </w:r>
      <w:r w:rsidR="003C2979">
        <w:rPr>
          <w:i/>
          <w:sz w:val="24"/>
          <w:szCs w:val="24"/>
        </w:rPr>
        <w:t>distribution charges</w:t>
      </w:r>
      <w:r w:rsidR="003C2979">
        <w:rPr>
          <w:sz w:val="24"/>
          <w:szCs w:val="24"/>
        </w:rPr>
        <w:t xml:space="preserve"> applicable to retail Transmission customers, and it would be reasonable for the Commission to address their concern by approving an NCP rate design for </w:t>
      </w:r>
      <w:r w:rsidR="00D542ED">
        <w:rPr>
          <w:sz w:val="24"/>
          <w:szCs w:val="24"/>
        </w:rPr>
        <w:t xml:space="preserve">these </w:t>
      </w:r>
      <w:r w:rsidR="003C2979">
        <w:rPr>
          <w:i/>
          <w:sz w:val="24"/>
          <w:szCs w:val="24"/>
        </w:rPr>
        <w:t>distribution charges</w:t>
      </w:r>
      <w:r w:rsidR="009229B0">
        <w:rPr>
          <w:sz w:val="24"/>
          <w:szCs w:val="24"/>
        </w:rPr>
        <w:t xml:space="preserve"> and an NCP cost allocation for demand-related distribution costs</w:t>
      </w:r>
      <w:r w:rsidR="003C2979">
        <w:rPr>
          <w:sz w:val="24"/>
          <w:szCs w:val="24"/>
        </w:rPr>
        <w:t>.</w:t>
      </w:r>
    </w:p>
    <w:p w:rsidR="00D542ED" w:rsidRPr="003C2979" w:rsidRDefault="00D542ED" w:rsidP="003C2979">
      <w:pPr>
        <w:spacing w:line="480" w:lineRule="auto"/>
        <w:ind w:left="720" w:hanging="720"/>
        <w:jc w:val="both"/>
        <w:rPr>
          <w:sz w:val="24"/>
          <w:szCs w:val="24"/>
        </w:rPr>
      </w:pPr>
      <w:r>
        <w:rPr>
          <w:sz w:val="24"/>
          <w:szCs w:val="24"/>
        </w:rPr>
        <w:tab/>
      </w:r>
      <w:r>
        <w:rPr>
          <w:sz w:val="24"/>
          <w:szCs w:val="24"/>
        </w:rPr>
        <w:tab/>
      </w:r>
    </w:p>
    <w:p w:rsidR="00E61D36" w:rsidRPr="00987C06" w:rsidRDefault="00091943" w:rsidP="00E61D36">
      <w:pPr>
        <w:pStyle w:val="Heading1"/>
        <w:numPr>
          <w:ilvl w:val="0"/>
          <w:numId w:val="1"/>
        </w:numPr>
        <w:tabs>
          <w:tab w:val="clear" w:pos="720"/>
          <w:tab w:val="num" w:pos="1080"/>
        </w:tabs>
        <w:spacing w:line="480" w:lineRule="auto"/>
        <w:jc w:val="both"/>
        <w:rPr>
          <w:sz w:val="24"/>
          <w:szCs w:val="24"/>
        </w:rPr>
      </w:pPr>
      <w:bookmarkStart w:id="8" w:name="_Toc11826697"/>
      <w:r>
        <w:rPr>
          <w:sz w:val="24"/>
          <w:szCs w:val="24"/>
        </w:rPr>
        <w:t xml:space="preserve">SUMMARY OF </w:t>
      </w:r>
      <w:r w:rsidR="00A31192">
        <w:rPr>
          <w:sz w:val="24"/>
          <w:szCs w:val="24"/>
        </w:rPr>
        <w:t>THE</w:t>
      </w:r>
      <w:r>
        <w:rPr>
          <w:sz w:val="24"/>
          <w:szCs w:val="24"/>
        </w:rPr>
        <w:t xml:space="preserve"> VARIOUS “4CP” ISSUES</w:t>
      </w:r>
      <w:r w:rsidR="00A31192">
        <w:rPr>
          <w:sz w:val="24"/>
          <w:szCs w:val="24"/>
        </w:rPr>
        <w:t xml:space="preserve"> RAISED</w:t>
      </w:r>
      <w:r w:rsidR="00226765">
        <w:rPr>
          <w:sz w:val="24"/>
          <w:szCs w:val="24"/>
        </w:rPr>
        <w:t xml:space="preserve"> BY PARTIES</w:t>
      </w:r>
      <w:bookmarkEnd w:id="8"/>
    </w:p>
    <w:p w:rsidR="00091943" w:rsidRDefault="0093727D" w:rsidP="00A420A3">
      <w:pPr>
        <w:spacing w:line="480" w:lineRule="auto"/>
        <w:ind w:left="720" w:hanging="720"/>
        <w:jc w:val="both"/>
        <w:rPr>
          <w:b/>
          <w:sz w:val="24"/>
          <w:szCs w:val="24"/>
        </w:rPr>
      </w:pPr>
      <w:r w:rsidRPr="004B701E">
        <w:rPr>
          <w:b/>
          <w:sz w:val="24"/>
          <w:szCs w:val="24"/>
        </w:rPr>
        <w:t>Q</w:t>
      </w:r>
      <w:r>
        <w:rPr>
          <w:b/>
          <w:sz w:val="24"/>
          <w:szCs w:val="24"/>
        </w:rPr>
        <w:t>.</w:t>
      </w:r>
      <w:r>
        <w:rPr>
          <w:b/>
          <w:sz w:val="24"/>
          <w:szCs w:val="24"/>
        </w:rPr>
        <w:tab/>
      </w:r>
      <w:r w:rsidR="00091943">
        <w:rPr>
          <w:b/>
          <w:sz w:val="24"/>
          <w:szCs w:val="24"/>
        </w:rPr>
        <w:t>Are there several distinct “4CP” issues that have been raised by parties to this proceeding?</w:t>
      </w:r>
    </w:p>
    <w:p w:rsidR="00A420A3" w:rsidRDefault="00091943" w:rsidP="00A420A3">
      <w:pPr>
        <w:spacing w:line="480" w:lineRule="auto"/>
        <w:ind w:left="720" w:hanging="720"/>
        <w:jc w:val="both"/>
        <w:rPr>
          <w:sz w:val="24"/>
          <w:szCs w:val="24"/>
        </w:rPr>
      </w:pPr>
      <w:r>
        <w:rPr>
          <w:sz w:val="24"/>
          <w:szCs w:val="24"/>
        </w:rPr>
        <w:t>A.</w:t>
      </w:r>
      <w:r>
        <w:rPr>
          <w:sz w:val="24"/>
          <w:szCs w:val="24"/>
        </w:rPr>
        <w:tab/>
        <w:t>Yes.  There are several distinct issues related to 4CP</w:t>
      </w:r>
      <w:r w:rsidR="00756F5E">
        <w:rPr>
          <w:sz w:val="24"/>
          <w:szCs w:val="24"/>
        </w:rPr>
        <w:t xml:space="preserve">, and some </w:t>
      </w:r>
      <w:r w:rsidR="00D76DD2">
        <w:rPr>
          <w:sz w:val="24"/>
          <w:szCs w:val="24"/>
        </w:rPr>
        <w:t>ambiguous phrasing</w:t>
      </w:r>
      <w:r w:rsidR="00756F5E">
        <w:rPr>
          <w:sz w:val="24"/>
          <w:szCs w:val="24"/>
        </w:rPr>
        <w:t xml:space="preserve"> on the part of some parties to this proceeding.  The various 4CP issues are:</w:t>
      </w:r>
    </w:p>
    <w:p w:rsidR="00756F5E" w:rsidRDefault="00756F5E" w:rsidP="00756F5E">
      <w:pPr>
        <w:pStyle w:val="ListParagraph"/>
        <w:numPr>
          <w:ilvl w:val="0"/>
          <w:numId w:val="22"/>
        </w:numPr>
        <w:spacing w:line="480" w:lineRule="auto"/>
        <w:jc w:val="both"/>
      </w:pPr>
      <w:r w:rsidRPr="0072768B">
        <w:rPr>
          <w:b/>
          <w:u w:val="single"/>
        </w:rPr>
        <w:t>“CenterPoint 4CP” versus “ERCOT 4CP”</w:t>
      </w:r>
      <w:r w:rsidR="00D25ABC">
        <w:rPr>
          <w:b/>
          <w:u w:val="single"/>
        </w:rPr>
        <w:t xml:space="preserve"> Class Allocation</w:t>
      </w:r>
      <w:r>
        <w:rPr>
          <w:b/>
        </w:rPr>
        <w:t xml:space="preserve"> </w:t>
      </w:r>
      <w:r>
        <w:t xml:space="preserve">- This issue concerns the particular numerical values </w:t>
      </w:r>
      <w:r w:rsidR="004D1447">
        <w:t>of the</w:t>
      </w:r>
      <w:r>
        <w:t xml:space="preserve"> </w:t>
      </w:r>
      <w:r w:rsidRPr="00756F5E">
        <w:rPr>
          <w:i/>
        </w:rPr>
        <w:t xml:space="preserve">4CP </w:t>
      </w:r>
      <w:r>
        <w:rPr>
          <w:i/>
        </w:rPr>
        <w:t>class allocation factor</w:t>
      </w:r>
      <w:r>
        <w:t xml:space="preserve"> used to allocate certain costs</w:t>
      </w:r>
      <w:r w:rsidR="00A31031">
        <w:t xml:space="preserve"> among the retail rate classes</w:t>
      </w:r>
      <w:r>
        <w:t xml:space="preserve">.  CenterPoint’s proposal, as made clear in its errata filing, is to use the </w:t>
      </w:r>
      <w:r>
        <w:rPr>
          <w:i/>
        </w:rPr>
        <w:t>CenterPoint system</w:t>
      </w:r>
      <w:r>
        <w:t xml:space="preserve"> </w:t>
      </w:r>
      <w:r>
        <w:rPr>
          <w:i/>
        </w:rPr>
        <w:t>peaks</w:t>
      </w:r>
      <w:r>
        <w:t xml:space="preserve"> to calculate the 4CP class allocation factor</w:t>
      </w:r>
      <w:r w:rsidR="0072768B">
        <w:t xml:space="preserve"> (the “CenterPoint 4CP class allocation factor”)</w:t>
      </w:r>
      <w:r>
        <w:t xml:space="preserve">.  As discussed in the direct testimonies of </w:t>
      </w:r>
      <w:r w:rsidRPr="00226765">
        <w:t>Staff witness Murphy and TIEC witness Pollock,</w:t>
      </w:r>
      <w:r w:rsidR="00A31192" w:rsidRPr="00226765">
        <w:rPr>
          <w:rStyle w:val="FootnoteReference"/>
        </w:rPr>
        <w:footnoteReference w:id="6"/>
      </w:r>
      <w:r>
        <w:t xml:space="preserve"> CenterPoint’s use of the CenterPoint system peak is a</w:t>
      </w:r>
      <w:r w:rsidR="00B90D36">
        <w:t>n</w:t>
      </w:r>
      <w:r>
        <w:t xml:space="preserve"> </w:t>
      </w:r>
      <w:r w:rsidR="00B90D36">
        <w:t xml:space="preserve">unexplained and unsupported </w:t>
      </w:r>
      <w:r>
        <w:t>departure from</w:t>
      </w:r>
      <w:r w:rsidR="00226765">
        <w:t xml:space="preserve"> cost causation and</w:t>
      </w:r>
      <w:r>
        <w:t xml:space="preserve"> well-established precedent, which requires the use of the </w:t>
      </w:r>
      <w:r>
        <w:rPr>
          <w:i/>
        </w:rPr>
        <w:t>ERCOT system peaks</w:t>
      </w:r>
      <w:r>
        <w:t xml:space="preserve"> to calculate the 4CP class allocation factor</w:t>
      </w:r>
      <w:r w:rsidR="0072768B">
        <w:t xml:space="preserve"> (“ERCOT 4CP class allocation factor”)</w:t>
      </w:r>
      <w:r>
        <w:t>.</w:t>
      </w:r>
      <w:r w:rsidR="008116D0">
        <w:t xml:space="preserve">  I will not address this issue in my cross-rebuttal testimony.</w:t>
      </w:r>
    </w:p>
    <w:p w:rsidR="0072768B" w:rsidRDefault="0072768B" w:rsidP="0072768B">
      <w:pPr>
        <w:pStyle w:val="ListParagraph"/>
        <w:numPr>
          <w:ilvl w:val="0"/>
          <w:numId w:val="22"/>
        </w:numPr>
        <w:spacing w:line="480" w:lineRule="auto"/>
        <w:jc w:val="both"/>
      </w:pPr>
      <w:r w:rsidRPr="008116D0">
        <w:rPr>
          <w:b/>
          <w:u w:val="single"/>
        </w:rPr>
        <w:t>Transmission and Distribution Demand Allocation Factors</w:t>
      </w:r>
      <w:r>
        <w:rPr>
          <w:b/>
        </w:rPr>
        <w:t xml:space="preserve"> – </w:t>
      </w:r>
      <w:r w:rsidR="004D1447">
        <w:t xml:space="preserve">This issue concerns how the 4CP class allocation factors are used in establishing rates.  </w:t>
      </w:r>
      <w:r>
        <w:t xml:space="preserve">CenterPoint has proposed using the </w:t>
      </w:r>
      <w:r w:rsidR="00226765">
        <w:t>(</w:t>
      </w:r>
      <w:r>
        <w:t>CenterPoint</w:t>
      </w:r>
      <w:r w:rsidR="00226765">
        <w:t>)</w:t>
      </w:r>
      <w:r>
        <w:t xml:space="preserve"> 4CP class allocation factor for a majority of both the </w:t>
      </w:r>
      <w:r>
        <w:rPr>
          <w:i/>
        </w:rPr>
        <w:t>transmission</w:t>
      </w:r>
      <w:r>
        <w:t xml:space="preserve"> and </w:t>
      </w:r>
      <w:r w:rsidR="00A31031">
        <w:t xml:space="preserve">the </w:t>
      </w:r>
      <w:r>
        <w:rPr>
          <w:i/>
        </w:rPr>
        <w:t>distribution</w:t>
      </w:r>
      <w:r>
        <w:t xml:space="preserve"> demand-related costs.</w:t>
      </w:r>
      <w:r>
        <w:rPr>
          <w:rStyle w:val="FootnoteReference"/>
        </w:rPr>
        <w:footnoteReference w:id="7"/>
      </w:r>
      <w:r w:rsidR="008116D0">
        <w:t xml:space="preserve">  HEB and TCPA </w:t>
      </w:r>
      <w:r w:rsidR="00226765">
        <w:t>state that they</w:t>
      </w:r>
      <w:r w:rsidR="008116D0">
        <w:t xml:space="preserve"> oppose the use of </w:t>
      </w:r>
      <w:r w:rsidR="00226765">
        <w:t xml:space="preserve">a 4CP class allocation factor (either the CenterPoint 4CP or the ERCOT 4CP) </w:t>
      </w:r>
      <w:r w:rsidR="008116D0">
        <w:t xml:space="preserve">for these costs, and propose instead the use of a non-coincident peak </w:t>
      </w:r>
      <w:r w:rsidR="00226765">
        <w:t xml:space="preserve">(“NCP”) </w:t>
      </w:r>
      <w:r w:rsidR="008116D0">
        <w:t xml:space="preserve">class allocation factor for both </w:t>
      </w:r>
      <w:r w:rsidR="008116D0">
        <w:rPr>
          <w:i/>
        </w:rPr>
        <w:t>transmission</w:t>
      </w:r>
      <w:r w:rsidR="008116D0">
        <w:t xml:space="preserve"> and </w:t>
      </w:r>
      <w:r w:rsidR="008116D0">
        <w:rPr>
          <w:i/>
        </w:rPr>
        <w:t xml:space="preserve">distribution </w:t>
      </w:r>
      <w:r w:rsidR="008116D0">
        <w:t>demand-related costs.</w:t>
      </w:r>
      <w:r w:rsidR="00A31031">
        <w:t xml:space="preserve">  Whereas Item 1, above, relates to the numbers that should be included in the 4CP class allocation factor, this issue is about whether to use </w:t>
      </w:r>
      <w:r w:rsidR="009229B0">
        <w:t>a</w:t>
      </w:r>
      <w:r w:rsidR="00A31031">
        <w:t xml:space="preserve"> 4CP class allocation factor or the NCP class allocation factor.</w:t>
      </w:r>
      <w:r w:rsidR="008116D0">
        <w:t xml:space="preserve">  As discussed below, I recommend rejection of HEB</w:t>
      </w:r>
      <w:r w:rsidR="00D25ABC">
        <w:t>’s</w:t>
      </w:r>
      <w:r w:rsidR="008116D0">
        <w:t xml:space="preserve"> and TCPA’s proposal to allocate </w:t>
      </w:r>
      <w:r w:rsidR="008116D0">
        <w:rPr>
          <w:i/>
        </w:rPr>
        <w:t>transmission</w:t>
      </w:r>
      <w:r w:rsidR="008116D0">
        <w:t xml:space="preserve"> costs on the basis of NCP.</w:t>
      </w:r>
      <w:r w:rsidR="00D25ABC">
        <w:t xml:space="preserve">  I am not opposed to HEB’s and TCPA’s proposal to allocate demand-related </w:t>
      </w:r>
      <w:r w:rsidR="00D25ABC">
        <w:rPr>
          <w:i/>
        </w:rPr>
        <w:t>distribution</w:t>
      </w:r>
      <w:r w:rsidR="00D25ABC">
        <w:t xml:space="preserve"> costs on the basis of NCP.</w:t>
      </w:r>
    </w:p>
    <w:p w:rsidR="008116D0" w:rsidRDefault="008116D0" w:rsidP="0072768B">
      <w:pPr>
        <w:pStyle w:val="ListParagraph"/>
        <w:numPr>
          <w:ilvl w:val="0"/>
          <w:numId w:val="22"/>
        </w:numPr>
        <w:spacing w:line="480" w:lineRule="auto"/>
        <w:jc w:val="both"/>
      </w:pPr>
      <w:r>
        <w:rPr>
          <w:b/>
          <w:u w:val="single"/>
        </w:rPr>
        <w:t xml:space="preserve">4CP </w:t>
      </w:r>
      <w:r w:rsidR="00D25ABC">
        <w:rPr>
          <w:b/>
          <w:u w:val="single"/>
        </w:rPr>
        <w:t>R</w:t>
      </w:r>
      <w:r>
        <w:rPr>
          <w:b/>
          <w:u w:val="single"/>
        </w:rPr>
        <w:t xml:space="preserve">ate </w:t>
      </w:r>
      <w:r w:rsidR="00D25ABC">
        <w:rPr>
          <w:b/>
          <w:u w:val="single"/>
        </w:rPr>
        <w:t>D</w:t>
      </w:r>
      <w:r>
        <w:rPr>
          <w:b/>
          <w:u w:val="single"/>
        </w:rPr>
        <w:t xml:space="preserve">esign versus NCP </w:t>
      </w:r>
      <w:r w:rsidR="00D25ABC">
        <w:rPr>
          <w:b/>
          <w:u w:val="single"/>
        </w:rPr>
        <w:t>R</w:t>
      </w:r>
      <w:r>
        <w:rPr>
          <w:b/>
          <w:u w:val="single"/>
        </w:rPr>
        <w:t xml:space="preserve">ate </w:t>
      </w:r>
      <w:r w:rsidR="00D25ABC">
        <w:rPr>
          <w:b/>
          <w:u w:val="single"/>
        </w:rPr>
        <w:t>D</w:t>
      </w:r>
      <w:r>
        <w:rPr>
          <w:b/>
          <w:u w:val="single"/>
        </w:rPr>
        <w:t>esign</w:t>
      </w:r>
      <w:r>
        <w:t xml:space="preserve"> – In contrast to the </w:t>
      </w:r>
      <w:r>
        <w:rPr>
          <w:i/>
        </w:rPr>
        <w:t xml:space="preserve">cost allocation </w:t>
      </w:r>
      <w:r>
        <w:t xml:space="preserve">issues above, which involve the amount of costs allocated to particular classes of customers, this </w:t>
      </w:r>
      <w:r>
        <w:rPr>
          <w:i/>
        </w:rPr>
        <w:t xml:space="preserve">rate design </w:t>
      </w:r>
      <w:r>
        <w:t>issue involves how customers within a class are charged based on their load or energy usage</w:t>
      </w:r>
      <w:r w:rsidRPr="0009369D">
        <w:t xml:space="preserve">.  Mr. Pollock testifies in support of CenterPoint’s proposal to continue the use of a 4CP </w:t>
      </w:r>
      <w:r w:rsidRPr="0009369D">
        <w:rPr>
          <w:i/>
        </w:rPr>
        <w:t>rate design</w:t>
      </w:r>
      <w:r w:rsidRPr="0009369D">
        <w:t xml:space="preserve"> for both </w:t>
      </w:r>
      <w:r w:rsidRPr="0009369D">
        <w:rPr>
          <w:i/>
        </w:rPr>
        <w:t>transmission</w:t>
      </w:r>
      <w:r w:rsidRPr="0009369D">
        <w:t xml:space="preserve"> and </w:t>
      </w:r>
      <w:r w:rsidRPr="0009369D">
        <w:rPr>
          <w:i/>
        </w:rPr>
        <w:t>distribution</w:t>
      </w:r>
      <w:r w:rsidRPr="0009369D">
        <w:t xml:space="preserve"> rates applicable to retail Transmission customers – this 4CP rate design means that customers are charged based on their individual loads a</w:t>
      </w:r>
      <w:r w:rsidR="00D76DD2" w:rsidRPr="0009369D">
        <w:t>t the times of the system peaks.</w:t>
      </w:r>
      <w:r w:rsidR="0009369D" w:rsidRPr="0009369D">
        <w:rPr>
          <w:rStyle w:val="FootnoteReference"/>
        </w:rPr>
        <w:footnoteReference w:id="8"/>
      </w:r>
      <w:r w:rsidR="00D76DD2" w:rsidRPr="0009369D">
        <w:t xml:space="preserve">  </w:t>
      </w:r>
      <w:r w:rsidR="00646763" w:rsidRPr="0009369D">
        <w:t>This contrasts</w:t>
      </w:r>
      <w:r w:rsidR="00646763">
        <w:t xml:space="preserve"> with an NCP rate design, where a customer is billed based on their maximum individual load during a month regardless of when that</w:t>
      </w:r>
      <w:r w:rsidR="00D76DD2">
        <w:t xml:space="preserve"> customer’s</w:t>
      </w:r>
      <w:r w:rsidR="00646763">
        <w:t xml:space="preserve"> peak </w:t>
      </w:r>
      <w:r w:rsidR="00D76DD2">
        <w:t xml:space="preserve">load </w:t>
      </w:r>
      <w:r w:rsidR="00646763">
        <w:t xml:space="preserve">occurred, and regardless of that customer’s load at the time of the system peak.  </w:t>
      </w:r>
      <w:r>
        <w:t xml:space="preserve">While HEB and TCPA state that their concerns are with 4CP </w:t>
      </w:r>
      <w:r>
        <w:rPr>
          <w:i/>
        </w:rPr>
        <w:t>class allocation</w:t>
      </w:r>
      <w:r>
        <w:t xml:space="preserve"> their testimony appears to be more concerned with the effect of the 4CP </w:t>
      </w:r>
      <w:r>
        <w:rPr>
          <w:i/>
        </w:rPr>
        <w:t>rate design</w:t>
      </w:r>
      <w:r>
        <w:t xml:space="preserve"> as regards such a rate design providing the </w:t>
      </w:r>
      <w:r w:rsidR="00D76DD2">
        <w:t xml:space="preserve">direct </w:t>
      </w:r>
      <w:r>
        <w:t>incentive for customers to reduce load at the system peak intervals.</w:t>
      </w:r>
      <w:r w:rsidR="00646763">
        <w:t xml:space="preserve">  If HEB or TCPA </w:t>
      </w:r>
      <w:r w:rsidR="00B73ED1">
        <w:t>is</w:t>
      </w:r>
      <w:r w:rsidR="00646763">
        <w:t xml:space="preserve"> advocating an NCP rate design instead of a 4CP rate design, I would recommend rejecting such a</w:t>
      </w:r>
      <w:r w:rsidR="001E4FAB">
        <w:t xml:space="preserve"> proposed</w:t>
      </w:r>
      <w:r w:rsidR="00646763">
        <w:t xml:space="preserve"> NCP rate design for </w:t>
      </w:r>
      <w:r w:rsidR="00646763">
        <w:rPr>
          <w:i/>
        </w:rPr>
        <w:t>transmission charges</w:t>
      </w:r>
      <w:r w:rsidR="001E4FAB">
        <w:t xml:space="preserve"> as inconsistent with precedent and cost-cau</w:t>
      </w:r>
      <w:r w:rsidR="001E4FAB" w:rsidRPr="0009369D">
        <w:t>sation</w:t>
      </w:r>
      <w:r w:rsidR="00646763" w:rsidRPr="0009369D">
        <w:t xml:space="preserve">.  However, an NCP rate design is the standard Commission-approved rate design for </w:t>
      </w:r>
      <w:r w:rsidR="00646763" w:rsidRPr="0009369D">
        <w:rPr>
          <w:i/>
        </w:rPr>
        <w:t>distribution charges</w:t>
      </w:r>
      <w:r w:rsidR="00646763" w:rsidRPr="0009369D">
        <w:t xml:space="preserve"> for most non-residential rate classes,</w:t>
      </w:r>
      <w:r w:rsidR="00646763">
        <w:t xml:space="preserve"> and it would be reasonable for the Commission to adopt such a proposal.</w:t>
      </w:r>
      <w:r w:rsidR="00D6547C">
        <w:t xml:space="preserve">  I discuss these issues below.</w:t>
      </w:r>
    </w:p>
    <w:p w:rsidR="00F71F58" w:rsidRPr="00F71F58" w:rsidRDefault="00F71F58" w:rsidP="0072768B">
      <w:pPr>
        <w:pStyle w:val="ListParagraph"/>
        <w:numPr>
          <w:ilvl w:val="0"/>
          <w:numId w:val="22"/>
        </w:numPr>
        <w:spacing w:line="480" w:lineRule="auto"/>
        <w:jc w:val="both"/>
        <w:rPr>
          <w:u w:val="single"/>
        </w:rPr>
      </w:pPr>
      <w:r w:rsidRPr="00F71F58">
        <w:rPr>
          <w:b/>
          <w:u w:val="single"/>
        </w:rPr>
        <w:t>Cost</w:t>
      </w:r>
      <w:r w:rsidRPr="00F71F58">
        <w:rPr>
          <w:u w:val="single"/>
        </w:rPr>
        <w:t>-</w:t>
      </w:r>
      <w:r w:rsidRPr="00F71F58">
        <w:rPr>
          <w:b/>
          <w:u w:val="single"/>
        </w:rPr>
        <w:t xml:space="preserve">based </w:t>
      </w:r>
      <w:r w:rsidR="00D25ABC">
        <w:rPr>
          <w:b/>
          <w:u w:val="single"/>
        </w:rPr>
        <w:t>R</w:t>
      </w:r>
      <w:r w:rsidRPr="00F71F58">
        <w:rPr>
          <w:b/>
          <w:u w:val="single"/>
        </w:rPr>
        <w:t>ates versus “</w:t>
      </w:r>
      <w:r w:rsidR="00D25ABC">
        <w:rPr>
          <w:b/>
          <w:u w:val="single"/>
        </w:rPr>
        <w:t>M</w:t>
      </w:r>
      <w:r w:rsidRPr="00F71F58">
        <w:rPr>
          <w:b/>
          <w:u w:val="single"/>
        </w:rPr>
        <w:t xml:space="preserve">oderating” the </w:t>
      </w:r>
      <w:r w:rsidR="00D25ABC">
        <w:rPr>
          <w:b/>
          <w:u w:val="single"/>
        </w:rPr>
        <w:t>U</w:t>
      </w:r>
      <w:r w:rsidRPr="00F71F58">
        <w:rPr>
          <w:b/>
          <w:u w:val="single"/>
        </w:rPr>
        <w:t xml:space="preserve">pdate to the 4CP </w:t>
      </w:r>
      <w:r w:rsidR="00D25ABC">
        <w:rPr>
          <w:b/>
          <w:u w:val="single"/>
        </w:rPr>
        <w:t>C</w:t>
      </w:r>
      <w:r w:rsidRPr="00F71F58">
        <w:rPr>
          <w:b/>
          <w:u w:val="single"/>
        </w:rPr>
        <w:t xml:space="preserve">lass </w:t>
      </w:r>
      <w:r w:rsidR="00D25ABC">
        <w:rPr>
          <w:b/>
          <w:u w:val="single"/>
        </w:rPr>
        <w:t>A</w:t>
      </w:r>
      <w:r w:rsidRPr="00F71F58">
        <w:rPr>
          <w:b/>
          <w:u w:val="single"/>
        </w:rPr>
        <w:t xml:space="preserve">llocation </w:t>
      </w:r>
      <w:r w:rsidR="00D25ABC">
        <w:rPr>
          <w:b/>
          <w:u w:val="single"/>
        </w:rPr>
        <w:t>F</w:t>
      </w:r>
      <w:r w:rsidRPr="00F71F58">
        <w:rPr>
          <w:b/>
          <w:u w:val="single"/>
        </w:rPr>
        <w:t>actor</w:t>
      </w:r>
      <w:r w:rsidRPr="00F71F58">
        <w:rPr>
          <w:b/>
        </w:rPr>
        <w:t xml:space="preserve"> </w:t>
      </w:r>
      <w:r>
        <w:rPr>
          <w:b/>
        </w:rPr>
        <w:t>–</w:t>
      </w:r>
      <w:r w:rsidRPr="00F71F58">
        <w:rPr>
          <w:b/>
        </w:rPr>
        <w:t xml:space="preserve"> </w:t>
      </w:r>
      <w:r>
        <w:t xml:space="preserve">TIEC witness Pollock recommends that moving rates to cost would </w:t>
      </w:r>
      <w:r w:rsidR="00D6547C">
        <w:t>be extreme and would result in rate shock or “cost-shifting,” which can be avoided by “moderating” the changes to the 4CP class allocation factors by some unspecified amount.</w:t>
      </w:r>
      <w:r w:rsidR="00A358CE">
        <w:rPr>
          <w:rStyle w:val="FootnoteReference"/>
        </w:rPr>
        <w:footnoteReference w:id="9"/>
      </w:r>
      <w:r w:rsidR="00D6547C">
        <w:t xml:space="preserve">  </w:t>
      </w:r>
      <w:r w:rsidR="00295FD6">
        <w:t>As discussed in the direct testimony of Staff witness Brian Murphy, r</w:t>
      </w:r>
      <w:r w:rsidR="00D6547C">
        <w:t>ate shock is not a concern in this proceeding,</w:t>
      </w:r>
      <w:r w:rsidR="00295FD6">
        <w:rPr>
          <w:rStyle w:val="FootnoteReference"/>
        </w:rPr>
        <w:footnoteReference w:id="10"/>
      </w:r>
      <w:r w:rsidR="00D6547C">
        <w:t xml:space="preserve"> and I recommend rejecting Mr. Pollock’s proposal on this issue, as discussed below. </w:t>
      </w:r>
    </w:p>
    <w:p w:rsidR="001C15DC" w:rsidRDefault="001C15DC" w:rsidP="002D6159">
      <w:pPr>
        <w:spacing w:line="480" w:lineRule="auto"/>
        <w:ind w:left="720" w:hanging="720"/>
        <w:jc w:val="both"/>
        <w:rPr>
          <w:sz w:val="24"/>
          <w:szCs w:val="24"/>
        </w:rPr>
      </w:pPr>
    </w:p>
    <w:p w:rsidR="00A31192" w:rsidRPr="00987C06" w:rsidRDefault="00A31192" w:rsidP="00A31192">
      <w:pPr>
        <w:pStyle w:val="Heading1"/>
        <w:numPr>
          <w:ilvl w:val="0"/>
          <w:numId w:val="1"/>
        </w:numPr>
        <w:tabs>
          <w:tab w:val="clear" w:pos="720"/>
          <w:tab w:val="num" w:pos="1080"/>
        </w:tabs>
        <w:spacing w:line="480" w:lineRule="auto"/>
        <w:jc w:val="both"/>
        <w:rPr>
          <w:sz w:val="24"/>
          <w:szCs w:val="24"/>
        </w:rPr>
      </w:pPr>
      <w:bookmarkStart w:id="9" w:name="_Toc11826698"/>
      <w:r>
        <w:rPr>
          <w:sz w:val="24"/>
          <w:szCs w:val="24"/>
        </w:rPr>
        <w:t>RESPONSE TO TIEC WITNESS JEFFRY POLLOCK</w:t>
      </w:r>
      <w:bookmarkEnd w:id="9"/>
    </w:p>
    <w:p w:rsidR="001D571F" w:rsidRPr="00A31192" w:rsidRDefault="001D571F" w:rsidP="001D571F">
      <w:pPr>
        <w:pStyle w:val="Heading2"/>
        <w:ind w:left="0"/>
        <w:rPr>
          <w:u w:val="single"/>
        </w:rPr>
      </w:pPr>
      <w:bookmarkStart w:id="10" w:name="_Toc11826699"/>
      <w:r>
        <w:rPr>
          <w:u w:val="single"/>
        </w:rPr>
        <w:t>Class Revenue Distribution and Ratemaking Background</w:t>
      </w:r>
      <w:bookmarkEnd w:id="10"/>
    </w:p>
    <w:p w:rsidR="001D571F" w:rsidRPr="001D571F" w:rsidRDefault="001D571F" w:rsidP="001D571F">
      <w:pPr>
        <w:spacing w:line="480" w:lineRule="auto"/>
        <w:ind w:left="720" w:hanging="720"/>
        <w:jc w:val="both"/>
        <w:rPr>
          <w:sz w:val="24"/>
          <w:szCs w:val="24"/>
        </w:rPr>
      </w:pPr>
      <w:r w:rsidRPr="001D571F">
        <w:rPr>
          <w:b/>
          <w:sz w:val="24"/>
          <w:szCs w:val="24"/>
        </w:rPr>
        <w:t>Q.</w:t>
      </w:r>
      <w:r w:rsidRPr="001D571F">
        <w:rPr>
          <w:b/>
          <w:sz w:val="24"/>
          <w:szCs w:val="24"/>
        </w:rPr>
        <w:tab/>
        <w:t>What are the basic phases of retail electric utility ratemaking?</w:t>
      </w:r>
    </w:p>
    <w:p w:rsidR="001D571F" w:rsidRPr="001D571F" w:rsidRDefault="001D571F" w:rsidP="001D571F">
      <w:pPr>
        <w:spacing w:line="480" w:lineRule="auto"/>
        <w:ind w:left="720" w:hanging="720"/>
        <w:jc w:val="both"/>
        <w:rPr>
          <w:sz w:val="24"/>
          <w:szCs w:val="24"/>
        </w:rPr>
      </w:pPr>
      <w:r w:rsidRPr="001D571F">
        <w:rPr>
          <w:sz w:val="24"/>
          <w:szCs w:val="24"/>
        </w:rPr>
        <w:t>A.</w:t>
      </w:r>
      <w:r w:rsidRPr="001D571F">
        <w:rPr>
          <w:sz w:val="24"/>
          <w:szCs w:val="24"/>
        </w:rPr>
        <w:tab/>
        <w:t>The ratemaking process generally proceeds as follows:</w:t>
      </w:r>
    </w:p>
    <w:p w:rsidR="001D571F" w:rsidRPr="001D571F" w:rsidRDefault="001D571F" w:rsidP="001D571F">
      <w:pPr>
        <w:pStyle w:val="ListParagraph"/>
        <w:numPr>
          <w:ilvl w:val="0"/>
          <w:numId w:val="10"/>
        </w:numPr>
        <w:spacing w:line="480" w:lineRule="auto"/>
        <w:jc w:val="both"/>
      </w:pPr>
      <w:r w:rsidRPr="001D571F">
        <w:t>Total company cost of service and revenue requirement are determined (Cost of Service).</w:t>
      </w:r>
    </w:p>
    <w:p w:rsidR="001D571F" w:rsidRPr="001D571F" w:rsidRDefault="001D571F" w:rsidP="001D571F">
      <w:pPr>
        <w:pStyle w:val="ListParagraph"/>
        <w:numPr>
          <w:ilvl w:val="0"/>
          <w:numId w:val="10"/>
        </w:numPr>
        <w:spacing w:line="480" w:lineRule="auto"/>
        <w:jc w:val="both"/>
      </w:pPr>
      <w:r w:rsidRPr="001D571F">
        <w:t>Texas jurisdictional cost of service and revenue requirement are determined, if necessary (Jurisdictional Cost of Service).</w:t>
      </w:r>
      <w:r w:rsidR="00B90D36">
        <w:rPr>
          <w:rStyle w:val="FootnoteReference"/>
        </w:rPr>
        <w:footnoteReference w:id="11"/>
      </w:r>
    </w:p>
    <w:p w:rsidR="001D571F" w:rsidRPr="001D571F" w:rsidRDefault="001D571F" w:rsidP="001D571F">
      <w:pPr>
        <w:pStyle w:val="ListParagraph"/>
        <w:numPr>
          <w:ilvl w:val="0"/>
          <w:numId w:val="10"/>
        </w:numPr>
        <w:spacing w:line="480" w:lineRule="auto"/>
        <w:jc w:val="both"/>
      </w:pPr>
      <w:r w:rsidRPr="001D571F">
        <w:t>The cost of service for each class of customers is determined (Class Cost of Service).</w:t>
      </w:r>
    </w:p>
    <w:p w:rsidR="001D571F" w:rsidRPr="001D571F" w:rsidRDefault="001D571F" w:rsidP="001D571F">
      <w:pPr>
        <w:pStyle w:val="ListParagraph"/>
        <w:numPr>
          <w:ilvl w:val="0"/>
          <w:numId w:val="10"/>
        </w:numPr>
        <w:spacing w:line="480" w:lineRule="auto"/>
        <w:jc w:val="both"/>
      </w:pPr>
      <w:r w:rsidRPr="001D571F">
        <w:t>The revenue requirement for each class is determined (Revenue Distribution).</w:t>
      </w:r>
    </w:p>
    <w:p w:rsidR="001D571F" w:rsidRPr="001D571F" w:rsidRDefault="001D571F" w:rsidP="001D571F">
      <w:pPr>
        <w:pStyle w:val="ListParagraph"/>
        <w:numPr>
          <w:ilvl w:val="0"/>
          <w:numId w:val="10"/>
        </w:numPr>
        <w:spacing w:line="480" w:lineRule="auto"/>
        <w:jc w:val="both"/>
      </w:pPr>
      <w:r w:rsidRPr="001D571F">
        <w:t>The individual rates within each class are determined (Rate Design).</w:t>
      </w:r>
    </w:p>
    <w:p w:rsidR="001D571F" w:rsidRPr="001D571F" w:rsidRDefault="001D571F" w:rsidP="001D571F">
      <w:pPr>
        <w:spacing w:line="480" w:lineRule="auto"/>
        <w:ind w:left="720" w:hanging="720"/>
        <w:jc w:val="both"/>
        <w:rPr>
          <w:b/>
          <w:sz w:val="24"/>
          <w:szCs w:val="24"/>
        </w:rPr>
      </w:pPr>
      <w:r w:rsidRPr="001D571F">
        <w:rPr>
          <w:b/>
          <w:sz w:val="24"/>
          <w:szCs w:val="24"/>
        </w:rPr>
        <w:t>Q.</w:t>
      </w:r>
      <w:r w:rsidRPr="001D571F">
        <w:rPr>
          <w:b/>
          <w:sz w:val="24"/>
          <w:szCs w:val="24"/>
        </w:rPr>
        <w:tab/>
        <w:t>What does the class revenue distribution phase of the ratemaking process entail?</w:t>
      </w:r>
    </w:p>
    <w:p w:rsidR="001D571F" w:rsidRPr="001D571F" w:rsidRDefault="001D571F" w:rsidP="001D571F">
      <w:pPr>
        <w:spacing w:line="480" w:lineRule="auto"/>
        <w:ind w:left="720" w:hanging="720"/>
        <w:jc w:val="both"/>
        <w:rPr>
          <w:b/>
          <w:sz w:val="24"/>
          <w:szCs w:val="24"/>
        </w:rPr>
      </w:pPr>
      <w:r w:rsidRPr="001D571F">
        <w:rPr>
          <w:sz w:val="24"/>
          <w:szCs w:val="24"/>
        </w:rPr>
        <w:t>A.</w:t>
      </w:r>
      <w:r w:rsidRPr="001D571F">
        <w:rPr>
          <w:sz w:val="24"/>
          <w:szCs w:val="24"/>
        </w:rPr>
        <w:tab/>
        <w:t xml:space="preserve">Revenue distribution involves establishing the revenue requirement for each class such that the total Texas jurisdictional revenue requirement is met.  The class revenue distribution phase </w:t>
      </w:r>
      <w:r>
        <w:rPr>
          <w:sz w:val="24"/>
          <w:szCs w:val="24"/>
        </w:rPr>
        <w:t xml:space="preserve">typically </w:t>
      </w:r>
      <w:r w:rsidRPr="001D571F">
        <w:rPr>
          <w:sz w:val="24"/>
          <w:szCs w:val="24"/>
        </w:rPr>
        <w:t>occurs after the class cost of service phase and before the rate design phase for the individual classes.  The revenue distribution is informed by the results of the Class Cost of Service Study (CCOSS).  In the rate design phase, rates are designed for each class to closely match the class revenue requirement established in the revenue distribution phase.</w:t>
      </w:r>
    </w:p>
    <w:p w:rsidR="001D571F" w:rsidRPr="001D571F" w:rsidRDefault="001D571F" w:rsidP="001D571F">
      <w:pPr>
        <w:spacing w:line="480" w:lineRule="auto"/>
        <w:ind w:left="720" w:firstLine="720"/>
        <w:jc w:val="both"/>
        <w:rPr>
          <w:sz w:val="24"/>
          <w:szCs w:val="24"/>
        </w:rPr>
      </w:pPr>
      <w:r w:rsidRPr="001D571F">
        <w:rPr>
          <w:sz w:val="24"/>
          <w:szCs w:val="24"/>
        </w:rPr>
        <w:t xml:space="preserve">The key question addressed in the revenue distribution phase is whether to set class revenue requirements equal to cost, as shown in the CCOSS </w:t>
      </w:r>
      <w:r w:rsidR="00D25ABC">
        <w:rPr>
          <w:sz w:val="24"/>
          <w:szCs w:val="24"/>
        </w:rPr>
        <w:t xml:space="preserve">and as required under </w:t>
      </w:r>
      <w:r w:rsidR="00D25ABC" w:rsidRPr="001D571F">
        <w:rPr>
          <w:sz w:val="24"/>
          <w:szCs w:val="24"/>
        </w:rPr>
        <w:t>16 TAC § 25.234</w:t>
      </w:r>
      <w:r w:rsidR="00D25ABC">
        <w:rPr>
          <w:sz w:val="24"/>
          <w:szCs w:val="24"/>
        </w:rPr>
        <w:t xml:space="preserve">, </w:t>
      </w:r>
      <w:r w:rsidRPr="001D571F">
        <w:rPr>
          <w:sz w:val="24"/>
          <w:szCs w:val="24"/>
        </w:rPr>
        <w:t xml:space="preserve">or to employ some form of “gradualism” or rate </w:t>
      </w:r>
      <w:r>
        <w:rPr>
          <w:sz w:val="24"/>
          <w:szCs w:val="24"/>
        </w:rPr>
        <w:t>“</w:t>
      </w:r>
      <w:r w:rsidRPr="001D571F">
        <w:rPr>
          <w:sz w:val="24"/>
          <w:szCs w:val="24"/>
        </w:rPr>
        <w:t>moderation</w:t>
      </w:r>
      <w:r>
        <w:rPr>
          <w:sz w:val="24"/>
          <w:szCs w:val="24"/>
        </w:rPr>
        <w:t>”</w:t>
      </w:r>
      <w:r w:rsidRPr="001D571F">
        <w:rPr>
          <w:sz w:val="24"/>
          <w:szCs w:val="24"/>
        </w:rPr>
        <w:t xml:space="preserve"> adjustment wherein the revenue requirements for one or more classes are set at a level below cost while other classes (necessarily) have revenue requirements set above cost.  If gradualism is appropriate, the details of how costs are to be shifted among customers must be determined.  </w:t>
      </w:r>
    </w:p>
    <w:p w:rsidR="001D571F" w:rsidRPr="001D571F" w:rsidRDefault="001D571F" w:rsidP="001D571F">
      <w:pPr>
        <w:spacing w:line="480" w:lineRule="auto"/>
        <w:ind w:left="720" w:hanging="720"/>
        <w:jc w:val="both"/>
        <w:rPr>
          <w:b/>
          <w:sz w:val="24"/>
          <w:szCs w:val="24"/>
        </w:rPr>
      </w:pPr>
      <w:r w:rsidRPr="001D571F">
        <w:rPr>
          <w:b/>
          <w:sz w:val="24"/>
          <w:szCs w:val="24"/>
        </w:rPr>
        <w:t>Q.</w:t>
      </w:r>
      <w:r w:rsidRPr="001D571F">
        <w:rPr>
          <w:b/>
          <w:sz w:val="24"/>
          <w:szCs w:val="24"/>
        </w:rPr>
        <w:tab/>
        <w:t>When is a gradualism adjustment appropriate?</w:t>
      </w:r>
    </w:p>
    <w:p w:rsidR="001D571F" w:rsidRPr="001D571F" w:rsidRDefault="001D571F" w:rsidP="001D571F">
      <w:pPr>
        <w:spacing w:line="480" w:lineRule="auto"/>
        <w:ind w:left="720" w:hanging="720"/>
        <w:jc w:val="both"/>
        <w:rPr>
          <w:rFonts w:eastAsia="Calibri"/>
          <w:sz w:val="24"/>
          <w:szCs w:val="24"/>
        </w:rPr>
      </w:pPr>
      <w:r w:rsidRPr="001D571F">
        <w:rPr>
          <w:sz w:val="24"/>
          <w:szCs w:val="24"/>
        </w:rPr>
        <w:t>A.</w:t>
      </w:r>
      <w:r w:rsidRPr="001D571F">
        <w:rPr>
          <w:sz w:val="24"/>
          <w:szCs w:val="24"/>
        </w:rPr>
        <w:tab/>
        <w:t>While setting class revenue requirements at cost is strongly preferred on efficiency and equity grounds (in addition to being consistent with 16 TAC § 25.234), a gradualism adjustment may be appropriate where movement to cost would result in an increase that is out of proportion or harsh to a particular class,”</w:t>
      </w:r>
      <w:r w:rsidRPr="001D571F">
        <w:rPr>
          <w:rStyle w:val="FootnoteReference"/>
          <w:sz w:val="24"/>
          <w:szCs w:val="24"/>
        </w:rPr>
        <w:footnoteReference w:id="12"/>
      </w:r>
      <w:r w:rsidRPr="001D571F">
        <w:rPr>
          <w:sz w:val="24"/>
          <w:szCs w:val="24"/>
        </w:rPr>
        <w:t xml:space="preserve"> or where the increases are “</w:t>
      </w:r>
      <w:r w:rsidRPr="001D571F">
        <w:rPr>
          <w:rFonts w:eastAsia="Calibri"/>
          <w:sz w:val="24"/>
          <w:szCs w:val="24"/>
        </w:rPr>
        <w:t>harsh to particular classes and promote rate shock.”</w:t>
      </w:r>
      <w:r w:rsidRPr="001D571F">
        <w:rPr>
          <w:rStyle w:val="FootnoteReference"/>
          <w:rFonts w:eastAsia="Calibri"/>
          <w:sz w:val="24"/>
          <w:szCs w:val="24"/>
        </w:rPr>
        <w:footnoteReference w:id="13"/>
      </w:r>
    </w:p>
    <w:p w:rsidR="001D571F" w:rsidRPr="001D571F" w:rsidRDefault="001D571F" w:rsidP="001D571F">
      <w:pPr>
        <w:spacing w:line="480" w:lineRule="auto"/>
        <w:ind w:left="720" w:hanging="720"/>
        <w:jc w:val="both"/>
        <w:rPr>
          <w:rFonts w:eastAsia="Calibri"/>
          <w:b/>
          <w:sz w:val="24"/>
          <w:szCs w:val="24"/>
        </w:rPr>
      </w:pPr>
      <w:r w:rsidRPr="001D571F">
        <w:rPr>
          <w:rFonts w:eastAsia="Calibri"/>
          <w:b/>
          <w:sz w:val="24"/>
          <w:szCs w:val="24"/>
        </w:rPr>
        <w:t>Q.</w:t>
      </w:r>
      <w:r w:rsidRPr="001D571F">
        <w:rPr>
          <w:rFonts w:eastAsia="Calibri"/>
          <w:b/>
          <w:sz w:val="24"/>
          <w:szCs w:val="24"/>
        </w:rPr>
        <w:tab/>
        <w:t xml:space="preserve">Is rate shock as much of a concern for transmission and distribution utilities such as </w:t>
      </w:r>
      <w:r>
        <w:rPr>
          <w:rFonts w:eastAsia="Calibri"/>
          <w:b/>
          <w:sz w:val="24"/>
          <w:szCs w:val="24"/>
        </w:rPr>
        <w:t>CenterPoint</w:t>
      </w:r>
      <w:r w:rsidRPr="001D571F">
        <w:rPr>
          <w:rFonts w:eastAsia="Calibri"/>
          <w:b/>
          <w:sz w:val="24"/>
          <w:szCs w:val="24"/>
        </w:rPr>
        <w:t xml:space="preserve"> as it is for vertically integrated utilities?</w:t>
      </w:r>
    </w:p>
    <w:p w:rsidR="0009369D" w:rsidRDefault="001D571F" w:rsidP="0009369D">
      <w:pPr>
        <w:spacing w:line="480" w:lineRule="auto"/>
        <w:ind w:left="720" w:hanging="720"/>
        <w:jc w:val="both"/>
        <w:rPr>
          <w:rFonts w:eastAsia="Calibri"/>
          <w:sz w:val="24"/>
          <w:szCs w:val="24"/>
        </w:rPr>
      </w:pPr>
      <w:r w:rsidRPr="001D571F">
        <w:rPr>
          <w:rFonts w:eastAsia="Calibri"/>
          <w:sz w:val="24"/>
          <w:szCs w:val="24"/>
        </w:rPr>
        <w:t>A.</w:t>
      </w:r>
      <w:r w:rsidRPr="001D571F">
        <w:rPr>
          <w:rFonts w:eastAsia="Calibri"/>
          <w:sz w:val="24"/>
          <w:szCs w:val="24"/>
        </w:rPr>
        <w:tab/>
        <w:t>No.  As a transmission and distribution utility (</w:t>
      </w:r>
      <w:r w:rsidR="00C37FB9">
        <w:rPr>
          <w:rFonts w:eastAsia="Calibri"/>
          <w:sz w:val="24"/>
          <w:szCs w:val="24"/>
        </w:rPr>
        <w:t>“</w:t>
      </w:r>
      <w:r w:rsidRPr="001D571F">
        <w:rPr>
          <w:rFonts w:eastAsia="Calibri"/>
          <w:sz w:val="24"/>
          <w:szCs w:val="24"/>
        </w:rPr>
        <w:t>TDU</w:t>
      </w:r>
      <w:r w:rsidR="00C37FB9">
        <w:rPr>
          <w:rFonts w:eastAsia="Calibri"/>
          <w:sz w:val="24"/>
          <w:szCs w:val="24"/>
        </w:rPr>
        <w:t>”</w:t>
      </w:r>
      <w:r w:rsidRPr="001D571F">
        <w:rPr>
          <w:rFonts w:eastAsia="Calibri"/>
          <w:sz w:val="24"/>
          <w:szCs w:val="24"/>
        </w:rPr>
        <w:t xml:space="preserve">), </w:t>
      </w:r>
      <w:r>
        <w:rPr>
          <w:rFonts w:eastAsia="Calibri"/>
          <w:sz w:val="24"/>
          <w:szCs w:val="24"/>
        </w:rPr>
        <w:t>CenterPoint’s</w:t>
      </w:r>
      <w:r w:rsidRPr="001D571F">
        <w:rPr>
          <w:rFonts w:eastAsia="Calibri"/>
          <w:sz w:val="24"/>
          <w:szCs w:val="24"/>
        </w:rPr>
        <w:t xml:space="preserve"> rates do not include any generation-related costs, and therefore represent a significantly smaller fraction of a typical customer’s </w:t>
      </w:r>
      <w:r w:rsidR="00D25ABC">
        <w:rPr>
          <w:rFonts w:eastAsia="Calibri"/>
          <w:sz w:val="24"/>
          <w:szCs w:val="24"/>
        </w:rPr>
        <w:t xml:space="preserve">total </w:t>
      </w:r>
      <w:r w:rsidRPr="001D571F">
        <w:rPr>
          <w:rFonts w:eastAsia="Calibri"/>
          <w:sz w:val="24"/>
          <w:szCs w:val="24"/>
        </w:rPr>
        <w:t xml:space="preserve">electric bill when compared to a vertically integrated generating utility’s rates.  In other words, the percentage increase in rates that might warrant a rate moderation adjustment is much higher for TDUs than it is for vertically integrated utilities – an 80% increase in a TDU’s rates might correspond to a 30% increase in a vertically integrated utility’s rates, when looking at the impact on a total bill basis.  As the Commission has recently approved </w:t>
      </w:r>
      <w:r w:rsidR="00C37FB9">
        <w:rPr>
          <w:rFonts w:eastAsia="Calibri"/>
          <w:sz w:val="24"/>
          <w:szCs w:val="24"/>
        </w:rPr>
        <w:t>moderated</w:t>
      </w:r>
      <w:r w:rsidRPr="001D571F">
        <w:rPr>
          <w:rFonts w:eastAsia="Calibri"/>
          <w:sz w:val="24"/>
          <w:szCs w:val="24"/>
        </w:rPr>
        <w:t xml:space="preserve"> base rate increases for certain customer classes of vertically</w:t>
      </w:r>
      <w:r w:rsidR="00B73ED1">
        <w:rPr>
          <w:rFonts w:eastAsia="Calibri"/>
          <w:sz w:val="24"/>
          <w:szCs w:val="24"/>
        </w:rPr>
        <w:t xml:space="preserve"> </w:t>
      </w:r>
      <w:r w:rsidRPr="001D571F">
        <w:rPr>
          <w:rFonts w:eastAsia="Calibri"/>
          <w:sz w:val="24"/>
          <w:szCs w:val="24"/>
        </w:rPr>
        <w:t>integrated utilities in excess of 42%, or 2.7 times the system-average increase,</w:t>
      </w:r>
      <w:r w:rsidRPr="001D571F">
        <w:rPr>
          <w:rStyle w:val="FootnoteReference"/>
          <w:rFonts w:eastAsia="Calibri"/>
          <w:sz w:val="24"/>
          <w:szCs w:val="24"/>
        </w:rPr>
        <w:footnoteReference w:id="14"/>
      </w:r>
      <w:r w:rsidRPr="001D571F">
        <w:rPr>
          <w:rFonts w:eastAsia="Calibri"/>
          <w:sz w:val="24"/>
          <w:szCs w:val="24"/>
        </w:rPr>
        <w:t xml:space="preserve"> one must keep in mind that the comparable percentage </w:t>
      </w:r>
      <w:r>
        <w:rPr>
          <w:rFonts w:eastAsia="Calibri"/>
          <w:sz w:val="24"/>
          <w:szCs w:val="24"/>
        </w:rPr>
        <w:t xml:space="preserve">rate </w:t>
      </w:r>
      <w:r w:rsidRPr="001D571F">
        <w:rPr>
          <w:rFonts w:eastAsia="Calibri"/>
          <w:sz w:val="24"/>
          <w:szCs w:val="24"/>
        </w:rPr>
        <w:t xml:space="preserve">increase for </w:t>
      </w:r>
      <w:r>
        <w:rPr>
          <w:rFonts w:eastAsia="Calibri"/>
          <w:sz w:val="24"/>
          <w:szCs w:val="24"/>
        </w:rPr>
        <w:t>CenterPoint</w:t>
      </w:r>
      <w:r w:rsidRPr="001D571F">
        <w:rPr>
          <w:rFonts w:eastAsia="Calibri"/>
          <w:sz w:val="24"/>
          <w:szCs w:val="24"/>
        </w:rPr>
        <w:t xml:space="preserve"> would be much higher.  None of the rate increases proposed by </w:t>
      </w:r>
      <w:r>
        <w:rPr>
          <w:rFonts w:eastAsia="Calibri"/>
          <w:sz w:val="24"/>
          <w:szCs w:val="24"/>
        </w:rPr>
        <w:t>CenterPoint</w:t>
      </w:r>
      <w:r w:rsidRPr="001D571F">
        <w:rPr>
          <w:rFonts w:eastAsia="Calibri"/>
          <w:sz w:val="24"/>
          <w:szCs w:val="24"/>
        </w:rPr>
        <w:t xml:space="preserve"> would be out of proportion or harsh to a particular class, and therefore rate shock is not a concern in this proceeding.</w:t>
      </w:r>
      <w:r w:rsidR="0009369D">
        <w:rPr>
          <w:rFonts w:eastAsia="Calibri"/>
          <w:sz w:val="24"/>
          <w:szCs w:val="24"/>
        </w:rPr>
        <w:br w:type="page"/>
      </w:r>
    </w:p>
    <w:p w:rsidR="001D571F" w:rsidRPr="001D571F" w:rsidRDefault="001D571F" w:rsidP="001D571F">
      <w:pPr>
        <w:spacing w:line="480" w:lineRule="auto"/>
        <w:ind w:left="720" w:hanging="720"/>
        <w:jc w:val="both"/>
        <w:rPr>
          <w:b/>
          <w:sz w:val="24"/>
          <w:szCs w:val="24"/>
        </w:rPr>
      </w:pPr>
      <w:r w:rsidRPr="001D571F">
        <w:rPr>
          <w:b/>
          <w:sz w:val="24"/>
          <w:szCs w:val="24"/>
        </w:rPr>
        <w:t>Q.</w:t>
      </w:r>
      <w:r w:rsidRPr="001D571F">
        <w:rPr>
          <w:b/>
          <w:sz w:val="24"/>
          <w:szCs w:val="24"/>
        </w:rPr>
        <w:tab/>
        <w:t>Are there distinct regulatory concerns that arise regarding class cost allocation and revenue distribution?</w:t>
      </w:r>
    </w:p>
    <w:p w:rsidR="001D571F" w:rsidRPr="001D571F" w:rsidRDefault="001D571F" w:rsidP="001D571F">
      <w:pPr>
        <w:spacing w:line="480" w:lineRule="auto"/>
        <w:ind w:left="720" w:hanging="720"/>
        <w:jc w:val="both"/>
        <w:rPr>
          <w:sz w:val="24"/>
          <w:szCs w:val="24"/>
        </w:rPr>
      </w:pPr>
      <w:r w:rsidRPr="001D571F">
        <w:rPr>
          <w:sz w:val="24"/>
          <w:szCs w:val="24"/>
        </w:rPr>
        <w:t>A.</w:t>
      </w:r>
      <w:r w:rsidRPr="001D571F">
        <w:rPr>
          <w:sz w:val="24"/>
          <w:szCs w:val="24"/>
        </w:rPr>
        <w:tab/>
        <w:t>Yes.  In the class cost allocation and revenue distribution phases the total Texas jurisdictional revenue requirement is fixed.  Therefore, compared to setting class revenues equal to cost, any particular gradualism</w:t>
      </w:r>
      <w:r w:rsidR="00C37FB9">
        <w:rPr>
          <w:sz w:val="24"/>
          <w:szCs w:val="24"/>
        </w:rPr>
        <w:t xml:space="preserve"> or rate moderation</w:t>
      </w:r>
      <w:r w:rsidRPr="001D571F">
        <w:rPr>
          <w:sz w:val="24"/>
          <w:szCs w:val="24"/>
        </w:rPr>
        <w:t xml:space="preserve"> adjustment will benefit some ratepayers at the expense of others.  Because of this “zero-sum” situation among ratepayers, there is a significant change in the array of interests and complexity of issues as one transitions from the total company cost of service phase to the later cost allocation and revenue distribution phases.  The initial phases are generally bi-lateral with respect to interests (utility versus ratepayers) and one-dimensional in complexity (higher versus lower revenue requirement).  The later cost allocation and revenue distribution phases are multi-lateral with respect to interests (all the ratepayer classes versus each other) and multi-dimensional in complexity (many different class revenue requirements that could be higher or lower).  Therefore, it is possible that each intervening party could propose or support one or more gradualism adjustments that favors their class(es) by shifting cost recovery to other classes, even where no gradualism adjustment is warranted.  In my experience, typical intervenor positions on revenue distribution issues appear to be influenced by the narrow interest of the class(es) they represent.</w:t>
      </w:r>
    </w:p>
    <w:p w:rsidR="001D571F" w:rsidRPr="001D571F" w:rsidRDefault="001D571F" w:rsidP="001D571F">
      <w:pPr>
        <w:spacing w:line="480" w:lineRule="auto"/>
        <w:ind w:left="720" w:hanging="720"/>
        <w:jc w:val="both"/>
        <w:rPr>
          <w:b/>
          <w:sz w:val="24"/>
          <w:szCs w:val="24"/>
        </w:rPr>
      </w:pPr>
      <w:r w:rsidRPr="001D571F">
        <w:rPr>
          <w:b/>
          <w:sz w:val="24"/>
          <w:szCs w:val="24"/>
        </w:rPr>
        <w:t>Q.</w:t>
      </w:r>
      <w:r w:rsidRPr="001D571F">
        <w:rPr>
          <w:b/>
          <w:sz w:val="24"/>
          <w:szCs w:val="24"/>
        </w:rPr>
        <w:tab/>
        <w:t>Are there other, more practical regulatory concerns regarding revenue distribution?</w:t>
      </w:r>
    </w:p>
    <w:p w:rsidR="001D571F" w:rsidRPr="001D571F" w:rsidRDefault="001D571F" w:rsidP="001D571F">
      <w:pPr>
        <w:spacing w:line="480" w:lineRule="auto"/>
        <w:ind w:left="720" w:hanging="720"/>
        <w:jc w:val="both"/>
        <w:rPr>
          <w:sz w:val="24"/>
          <w:szCs w:val="24"/>
        </w:rPr>
      </w:pPr>
      <w:r w:rsidRPr="001D571F">
        <w:rPr>
          <w:sz w:val="24"/>
          <w:szCs w:val="24"/>
        </w:rPr>
        <w:t>A.</w:t>
      </w:r>
      <w:r w:rsidRPr="001D571F">
        <w:rPr>
          <w:sz w:val="24"/>
          <w:szCs w:val="24"/>
        </w:rPr>
        <w:tab/>
        <w:t xml:space="preserve">Yes.  Because intervenors tend to be directly interested in the level of rates that their class(es) are subject to, and only indirectly concerned with the overall level of a utility’s rates, there are practical concerns related to asymmetric intervenor representation as well as the possibility of biased collaboration.  Because of the zero-sum, class-versus-class nature and unavoidable subjectivity inherent in gradualism </w:t>
      </w:r>
      <w:r w:rsidR="00C37FB9">
        <w:rPr>
          <w:sz w:val="24"/>
          <w:szCs w:val="24"/>
        </w:rPr>
        <w:t xml:space="preserve">or rate moderation </w:t>
      </w:r>
      <w:r w:rsidRPr="001D571F">
        <w:rPr>
          <w:sz w:val="24"/>
          <w:szCs w:val="24"/>
        </w:rPr>
        <w:t xml:space="preserve">adjustments, an important concern arises due to the fact that some classes may have no representation as intervenors in the ratemaking process.  Furthermore, even among those classes that do have representation as intervenors, there may be a high degree of asymmetry with respect to the degree to which the intervenor has an incentive to work for the benefit of </w:t>
      </w:r>
      <w:r w:rsidR="00B73ED1">
        <w:rPr>
          <w:sz w:val="24"/>
          <w:szCs w:val="24"/>
        </w:rPr>
        <w:t>its</w:t>
      </w:r>
      <w:r w:rsidRPr="001D571F">
        <w:rPr>
          <w:sz w:val="24"/>
          <w:szCs w:val="24"/>
        </w:rPr>
        <w:t xml:space="preserve"> class – an intervenor that represents 95% of the load of a class has a much stronger incentive to work for the benefit </w:t>
      </w:r>
      <w:r w:rsidR="00B73ED1">
        <w:rPr>
          <w:sz w:val="24"/>
          <w:szCs w:val="24"/>
        </w:rPr>
        <w:t>of its</w:t>
      </w:r>
      <w:r w:rsidRPr="001D571F">
        <w:rPr>
          <w:sz w:val="24"/>
          <w:szCs w:val="24"/>
        </w:rPr>
        <w:t xml:space="preserve"> class, compared to a different intervenor that represents 10% of the load of </w:t>
      </w:r>
      <w:r w:rsidR="00B73ED1">
        <w:rPr>
          <w:sz w:val="24"/>
          <w:szCs w:val="24"/>
        </w:rPr>
        <w:t>its</w:t>
      </w:r>
      <w:r w:rsidRPr="001D571F">
        <w:rPr>
          <w:sz w:val="24"/>
          <w:szCs w:val="24"/>
        </w:rPr>
        <w:t xml:space="preserve"> class.</w:t>
      </w:r>
      <w:r w:rsidRPr="001D571F">
        <w:rPr>
          <w:rStyle w:val="FootnoteReference"/>
          <w:sz w:val="24"/>
          <w:szCs w:val="24"/>
        </w:rPr>
        <w:footnoteReference w:id="15"/>
      </w:r>
      <w:r w:rsidRPr="001D571F">
        <w:rPr>
          <w:sz w:val="24"/>
          <w:szCs w:val="24"/>
        </w:rPr>
        <w:t xml:space="preserve">  Similarly, intervenors with load in more than one class could have the incentive to favor the class or classes where most of their load resides, even at the expense of a class where a small portion of their load resides.</w:t>
      </w:r>
    </w:p>
    <w:p w:rsidR="001D571F" w:rsidRPr="001D571F" w:rsidRDefault="001D571F" w:rsidP="001D571F">
      <w:pPr>
        <w:spacing w:line="480" w:lineRule="auto"/>
        <w:ind w:left="720" w:hanging="720"/>
        <w:jc w:val="both"/>
        <w:rPr>
          <w:sz w:val="24"/>
          <w:szCs w:val="24"/>
        </w:rPr>
      </w:pPr>
      <w:r w:rsidRPr="001D571F">
        <w:rPr>
          <w:sz w:val="24"/>
          <w:szCs w:val="24"/>
        </w:rPr>
        <w:tab/>
      </w:r>
      <w:r w:rsidRPr="001D571F">
        <w:rPr>
          <w:sz w:val="24"/>
          <w:szCs w:val="24"/>
        </w:rPr>
        <w:tab/>
        <w:t>This issue of asymmetric intervenor representation can be more severe in situations where a company proposes a gradualism adjustment that generally benefits those classes with more active intervenor representation at the expense of those classes that have less, or no, intervenor representation.  A gradualism adjustment that shifts cost recovery away from active intervenors and onto customers with less active intervenor representation would likely engender less intervenor opposition for a given level of overall revenue increase.  This could result in a scenario in which the utility receives  a larger-than-otherwise overall rate increase due to less opposition, active intervenors receive a short-term benefit in the form of a below-cost increase for their classes, and the remaining classes end up with above-cost rates.  Even absent utility support for such a gradualism adjustment, the active intervenors may propose and support gradualism adjustments that benefit them collectively at the expense of the remaining classes.</w:t>
      </w:r>
      <w:r w:rsidRPr="001D571F">
        <w:rPr>
          <w:rStyle w:val="FootnoteReference"/>
          <w:sz w:val="24"/>
          <w:szCs w:val="24"/>
        </w:rPr>
        <w:footnoteReference w:id="16"/>
      </w:r>
    </w:p>
    <w:p w:rsidR="001D571F" w:rsidRPr="001D571F" w:rsidRDefault="001D571F" w:rsidP="001D571F">
      <w:pPr>
        <w:spacing w:line="480" w:lineRule="auto"/>
        <w:ind w:left="720" w:hanging="720"/>
        <w:jc w:val="both"/>
        <w:rPr>
          <w:b/>
          <w:sz w:val="24"/>
          <w:szCs w:val="24"/>
        </w:rPr>
      </w:pPr>
      <w:r w:rsidRPr="001D571F">
        <w:rPr>
          <w:b/>
          <w:sz w:val="24"/>
          <w:szCs w:val="24"/>
        </w:rPr>
        <w:t>Q.</w:t>
      </w:r>
      <w:r w:rsidRPr="001D571F">
        <w:rPr>
          <w:b/>
          <w:sz w:val="24"/>
          <w:szCs w:val="24"/>
        </w:rPr>
        <w:tab/>
        <w:t>Given the above concerns, what do you recommend?</w:t>
      </w:r>
    </w:p>
    <w:p w:rsidR="001D571F" w:rsidRPr="001D571F" w:rsidRDefault="001D571F" w:rsidP="001D571F">
      <w:pPr>
        <w:spacing w:line="480" w:lineRule="auto"/>
        <w:ind w:left="720" w:hanging="720"/>
        <w:jc w:val="both"/>
        <w:rPr>
          <w:sz w:val="24"/>
          <w:szCs w:val="24"/>
        </w:rPr>
      </w:pPr>
      <w:r w:rsidRPr="001D571F">
        <w:rPr>
          <w:sz w:val="24"/>
          <w:szCs w:val="24"/>
        </w:rPr>
        <w:t>A.</w:t>
      </w:r>
      <w:r w:rsidRPr="001D571F">
        <w:rPr>
          <w:sz w:val="24"/>
          <w:szCs w:val="24"/>
        </w:rPr>
        <w:tab/>
        <w:t xml:space="preserve">Any arguments in support of a gradualist approach to revenue distribution or rate design should be given a high degree of critical scrutiny in order to determine if they meet the required showing that undue rate shock is a serious concern.  </w:t>
      </w:r>
      <w:r>
        <w:rPr>
          <w:sz w:val="24"/>
          <w:szCs w:val="24"/>
        </w:rPr>
        <w:t>No party in this case has</w:t>
      </w:r>
      <w:r w:rsidRPr="001D571F">
        <w:rPr>
          <w:sz w:val="24"/>
          <w:szCs w:val="24"/>
        </w:rPr>
        <w:t xml:space="preserve"> made such a showing, and rates should be based on cost in this proceeding.</w:t>
      </w:r>
    </w:p>
    <w:p w:rsidR="001D571F" w:rsidRPr="001D571F" w:rsidRDefault="001D571F" w:rsidP="001D571F">
      <w:pPr>
        <w:spacing w:line="480" w:lineRule="auto"/>
        <w:ind w:left="720" w:hanging="720"/>
        <w:jc w:val="both"/>
        <w:rPr>
          <w:b/>
          <w:sz w:val="24"/>
          <w:szCs w:val="24"/>
        </w:rPr>
      </w:pPr>
      <w:r w:rsidRPr="001D571F">
        <w:rPr>
          <w:b/>
          <w:sz w:val="24"/>
          <w:szCs w:val="24"/>
        </w:rPr>
        <w:t>Q.</w:t>
      </w:r>
      <w:r w:rsidRPr="001D571F">
        <w:rPr>
          <w:b/>
          <w:sz w:val="24"/>
          <w:szCs w:val="24"/>
        </w:rPr>
        <w:tab/>
        <w:t xml:space="preserve">Is it standard practice for the Commission </w:t>
      </w:r>
      <w:r>
        <w:rPr>
          <w:b/>
          <w:sz w:val="24"/>
          <w:szCs w:val="24"/>
        </w:rPr>
        <w:t>to adopt a rate moderation, or gradualist, approach to setting rates</w:t>
      </w:r>
      <w:r w:rsidRPr="001D571F">
        <w:rPr>
          <w:b/>
          <w:sz w:val="24"/>
          <w:szCs w:val="24"/>
        </w:rPr>
        <w:t>?</w:t>
      </w:r>
    </w:p>
    <w:p w:rsidR="001D571F" w:rsidRPr="001D571F" w:rsidRDefault="001D571F" w:rsidP="001D571F">
      <w:pPr>
        <w:spacing w:line="480" w:lineRule="auto"/>
        <w:ind w:left="720" w:hanging="720"/>
        <w:jc w:val="both"/>
        <w:rPr>
          <w:sz w:val="24"/>
          <w:szCs w:val="24"/>
        </w:rPr>
      </w:pPr>
      <w:r w:rsidRPr="001D571F">
        <w:rPr>
          <w:sz w:val="24"/>
          <w:szCs w:val="24"/>
        </w:rPr>
        <w:t>A.</w:t>
      </w:r>
      <w:r w:rsidRPr="001D571F">
        <w:rPr>
          <w:sz w:val="24"/>
          <w:szCs w:val="24"/>
        </w:rPr>
        <w:tab/>
        <w:t xml:space="preserve">No.  </w:t>
      </w:r>
      <w:r>
        <w:rPr>
          <w:sz w:val="24"/>
          <w:szCs w:val="24"/>
        </w:rPr>
        <w:t>For example, in CenterPoint’s last base rate proceeding, the Commission established rates at cost</w:t>
      </w:r>
      <w:r w:rsidRPr="001D571F">
        <w:rPr>
          <w:sz w:val="24"/>
          <w:szCs w:val="24"/>
        </w:rPr>
        <w:t>:</w:t>
      </w:r>
    </w:p>
    <w:p w:rsidR="001D571F" w:rsidRDefault="001D571F" w:rsidP="001D571F">
      <w:pPr>
        <w:ind w:left="1440" w:right="720" w:hanging="720"/>
        <w:jc w:val="both"/>
        <w:rPr>
          <w:sz w:val="24"/>
          <w:szCs w:val="24"/>
        </w:rPr>
      </w:pPr>
      <w:r w:rsidRPr="001D571F">
        <w:rPr>
          <w:sz w:val="24"/>
          <w:szCs w:val="24"/>
        </w:rPr>
        <w:tab/>
        <w:t>In allocating costs, CenterPoint followed the principles of cost causation.  Each of the retail delivery classes has been allocated revenues in line with the costs those classes generate.</w:t>
      </w:r>
      <w:r w:rsidRPr="001D571F">
        <w:rPr>
          <w:rStyle w:val="FootnoteReference"/>
          <w:sz w:val="24"/>
          <w:szCs w:val="24"/>
        </w:rPr>
        <w:footnoteReference w:id="17"/>
      </w:r>
    </w:p>
    <w:p w:rsidR="001D571F" w:rsidRPr="001D571F" w:rsidRDefault="001D571F" w:rsidP="001D571F">
      <w:pPr>
        <w:ind w:left="1440" w:right="720" w:hanging="720"/>
        <w:jc w:val="both"/>
        <w:rPr>
          <w:sz w:val="24"/>
          <w:szCs w:val="24"/>
        </w:rPr>
      </w:pPr>
    </w:p>
    <w:p w:rsidR="001D571F" w:rsidRPr="001D571F" w:rsidRDefault="001D571F" w:rsidP="001D571F">
      <w:pPr>
        <w:spacing w:line="480" w:lineRule="auto"/>
        <w:ind w:left="720" w:hanging="720"/>
        <w:jc w:val="both"/>
        <w:rPr>
          <w:sz w:val="24"/>
          <w:szCs w:val="24"/>
        </w:rPr>
      </w:pPr>
      <w:r w:rsidRPr="001D571F">
        <w:rPr>
          <w:sz w:val="24"/>
          <w:szCs w:val="24"/>
        </w:rPr>
        <w:tab/>
      </w:r>
      <w:r>
        <w:rPr>
          <w:sz w:val="24"/>
          <w:szCs w:val="24"/>
        </w:rPr>
        <w:t>This approach is also consistent with prior TDU rate case decisions</w:t>
      </w:r>
      <w:r w:rsidRPr="001D571F">
        <w:rPr>
          <w:sz w:val="24"/>
          <w:szCs w:val="24"/>
        </w:rPr>
        <w:t>:</w:t>
      </w:r>
    </w:p>
    <w:p w:rsidR="001D571F" w:rsidRPr="001D571F" w:rsidRDefault="001D571F" w:rsidP="001D571F">
      <w:pPr>
        <w:ind w:left="1440" w:right="720" w:hanging="720"/>
        <w:jc w:val="both"/>
        <w:rPr>
          <w:sz w:val="24"/>
          <w:szCs w:val="24"/>
        </w:rPr>
      </w:pPr>
      <w:r w:rsidRPr="001D571F">
        <w:rPr>
          <w:sz w:val="24"/>
          <w:szCs w:val="24"/>
        </w:rPr>
        <w:tab/>
        <w:t>The increases assigned to each of the generic rate classes are the result of moving each rate class to unity (</w:t>
      </w:r>
      <w:r w:rsidRPr="001D571F">
        <w:rPr>
          <w:i/>
          <w:sz w:val="24"/>
          <w:szCs w:val="24"/>
        </w:rPr>
        <w:t>i.e.,</w:t>
      </w:r>
      <w:r w:rsidRPr="001D571F">
        <w:rPr>
          <w:sz w:val="24"/>
          <w:szCs w:val="24"/>
        </w:rPr>
        <w:t xml:space="preserve"> an equalized rate of return or full recovery of allocated costs).</w:t>
      </w:r>
      <w:r w:rsidRPr="001D571F">
        <w:rPr>
          <w:rStyle w:val="FootnoteReference"/>
          <w:sz w:val="24"/>
          <w:szCs w:val="24"/>
        </w:rPr>
        <w:footnoteReference w:id="18"/>
      </w:r>
    </w:p>
    <w:p w:rsidR="001D571F" w:rsidRPr="001D571F" w:rsidRDefault="001D571F" w:rsidP="001D571F">
      <w:pPr>
        <w:spacing w:line="480" w:lineRule="auto"/>
        <w:ind w:left="720" w:hanging="720"/>
        <w:jc w:val="both"/>
        <w:rPr>
          <w:b/>
          <w:sz w:val="24"/>
          <w:szCs w:val="24"/>
        </w:rPr>
      </w:pPr>
      <w:r w:rsidRPr="001D571F">
        <w:rPr>
          <w:b/>
          <w:sz w:val="24"/>
          <w:szCs w:val="24"/>
        </w:rPr>
        <w:tab/>
      </w:r>
    </w:p>
    <w:p w:rsidR="001D571F" w:rsidRPr="001D571F" w:rsidRDefault="001D571F" w:rsidP="001D571F">
      <w:pPr>
        <w:spacing w:line="480" w:lineRule="auto"/>
        <w:ind w:left="720"/>
        <w:jc w:val="both"/>
        <w:rPr>
          <w:sz w:val="24"/>
          <w:szCs w:val="24"/>
        </w:rPr>
      </w:pPr>
      <w:r w:rsidRPr="001D571F">
        <w:rPr>
          <w:sz w:val="24"/>
          <w:szCs w:val="24"/>
        </w:rPr>
        <w:t>Compared to ratemaking in areas not subject to competition, setting rates at cost is more important in the competitive ERCOT market, and has been an important component of Commission policy since the inception of the competitive market.  In determining the standard ratemaking treatments for TDUs in the competitive market, the Commission stated:</w:t>
      </w:r>
    </w:p>
    <w:p w:rsidR="001D571F" w:rsidRPr="001D571F" w:rsidRDefault="001D571F" w:rsidP="001D571F">
      <w:pPr>
        <w:ind w:left="1440" w:right="720"/>
        <w:jc w:val="both"/>
        <w:rPr>
          <w:sz w:val="24"/>
          <w:szCs w:val="24"/>
        </w:rPr>
      </w:pPr>
      <w:r w:rsidRPr="001D571F">
        <w:rPr>
          <w:sz w:val="24"/>
          <w:szCs w:val="24"/>
        </w:rPr>
        <w:t>CHAIRMAN WOOD:</w:t>
      </w:r>
    </w:p>
    <w:p w:rsidR="001D571F" w:rsidRPr="001D571F" w:rsidRDefault="001D571F" w:rsidP="001D571F">
      <w:pPr>
        <w:ind w:left="1440" w:right="720"/>
        <w:jc w:val="both"/>
        <w:rPr>
          <w:sz w:val="24"/>
          <w:szCs w:val="24"/>
        </w:rPr>
      </w:pPr>
      <w:r w:rsidRPr="001D571F">
        <w:rPr>
          <w:sz w:val="24"/>
          <w:szCs w:val="24"/>
        </w:rPr>
        <w:t>…the cost causation ought to totally drive this.  We ought to be as pure as possible in these rates because if we will continue to perpetuate all these subsidies and cross-subsidization mistakes of the past in the future, that will, I think in the long term, hurt competition. …</w:t>
      </w:r>
    </w:p>
    <w:p w:rsidR="001D571F" w:rsidRPr="001D571F" w:rsidRDefault="001D571F" w:rsidP="001D571F">
      <w:pPr>
        <w:ind w:left="1440" w:right="720"/>
        <w:jc w:val="both"/>
        <w:rPr>
          <w:sz w:val="24"/>
          <w:szCs w:val="24"/>
        </w:rPr>
      </w:pPr>
    </w:p>
    <w:p w:rsidR="001D571F" w:rsidRDefault="001D571F" w:rsidP="001D571F">
      <w:pPr>
        <w:ind w:left="1440" w:right="720"/>
        <w:jc w:val="both"/>
        <w:rPr>
          <w:sz w:val="24"/>
          <w:szCs w:val="24"/>
        </w:rPr>
      </w:pPr>
      <w:r w:rsidRPr="001D571F">
        <w:rPr>
          <w:sz w:val="24"/>
          <w:szCs w:val="24"/>
        </w:rPr>
        <w:t>COMM. WALSH:  I think you’re right.</w:t>
      </w:r>
      <w:r w:rsidRPr="001D571F">
        <w:rPr>
          <w:rStyle w:val="FootnoteReference"/>
          <w:sz w:val="24"/>
          <w:szCs w:val="24"/>
        </w:rPr>
        <w:footnoteReference w:id="19"/>
      </w:r>
    </w:p>
    <w:p w:rsidR="00A31031" w:rsidRPr="001D571F" w:rsidRDefault="00A31031" w:rsidP="00A31031">
      <w:pPr>
        <w:spacing w:line="480" w:lineRule="auto"/>
        <w:ind w:left="1440" w:right="720"/>
        <w:jc w:val="both"/>
        <w:rPr>
          <w:sz w:val="24"/>
          <w:szCs w:val="24"/>
        </w:rPr>
      </w:pPr>
    </w:p>
    <w:p w:rsidR="00A31192" w:rsidRPr="00A31192" w:rsidRDefault="00A31192" w:rsidP="00A31031">
      <w:pPr>
        <w:pStyle w:val="Heading2"/>
        <w:ind w:left="0"/>
        <w:rPr>
          <w:u w:val="single"/>
        </w:rPr>
      </w:pPr>
      <w:bookmarkStart w:id="11" w:name="_Toc11826700"/>
      <w:r>
        <w:rPr>
          <w:u w:val="single"/>
        </w:rPr>
        <w:t xml:space="preserve">Rate Shock is </w:t>
      </w:r>
      <w:r w:rsidR="00A61794">
        <w:rPr>
          <w:u w:val="single"/>
        </w:rPr>
        <w:t>N</w:t>
      </w:r>
      <w:r>
        <w:rPr>
          <w:u w:val="single"/>
        </w:rPr>
        <w:t xml:space="preserve">ot an </w:t>
      </w:r>
      <w:r w:rsidR="00A61794">
        <w:rPr>
          <w:u w:val="single"/>
        </w:rPr>
        <w:t>I</w:t>
      </w:r>
      <w:r>
        <w:rPr>
          <w:u w:val="single"/>
        </w:rPr>
        <w:t xml:space="preserve">ssue in </w:t>
      </w:r>
      <w:r w:rsidR="00A61794">
        <w:rPr>
          <w:u w:val="single"/>
        </w:rPr>
        <w:t>T</w:t>
      </w:r>
      <w:r>
        <w:rPr>
          <w:u w:val="single"/>
        </w:rPr>
        <w:t xml:space="preserve">his </w:t>
      </w:r>
      <w:r w:rsidR="00A61794">
        <w:rPr>
          <w:u w:val="single"/>
        </w:rPr>
        <w:t>P</w:t>
      </w:r>
      <w:r>
        <w:rPr>
          <w:u w:val="single"/>
        </w:rPr>
        <w:t xml:space="preserve">roceeding, and </w:t>
      </w:r>
      <w:r w:rsidR="00A61794">
        <w:rPr>
          <w:u w:val="single"/>
        </w:rPr>
        <w:t>R</w:t>
      </w:r>
      <w:r>
        <w:rPr>
          <w:u w:val="single"/>
        </w:rPr>
        <w:t xml:space="preserve">ates </w:t>
      </w:r>
      <w:r w:rsidR="00A61794">
        <w:rPr>
          <w:u w:val="single"/>
        </w:rPr>
        <w:t>S</w:t>
      </w:r>
      <w:r>
        <w:rPr>
          <w:u w:val="single"/>
        </w:rPr>
        <w:t xml:space="preserve">hould be </w:t>
      </w:r>
      <w:r w:rsidR="00A61794">
        <w:rPr>
          <w:u w:val="single"/>
        </w:rPr>
        <w:t>S</w:t>
      </w:r>
      <w:r>
        <w:rPr>
          <w:u w:val="single"/>
        </w:rPr>
        <w:t xml:space="preserve">et at </w:t>
      </w:r>
      <w:r w:rsidR="00A61794">
        <w:rPr>
          <w:u w:val="single"/>
        </w:rPr>
        <w:t>C</w:t>
      </w:r>
      <w:r>
        <w:rPr>
          <w:u w:val="single"/>
        </w:rPr>
        <w:t>ost</w:t>
      </w:r>
      <w:bookmarkEnd w:id="11"/>
    </w:p>
    <w:p w:rsidR="00406006" w:rsidRDefault="00A31192" w:rsidP="00A31031">
      <w:pPr>
        <w:spacing w:line="480" w:lineRule="auto"/>
        <w:ind w:left="720" w:hanging="720"/>
        <w:jc w:val="both"/>
        <w:rPr>
          <w:sz w:val="24"/>
          <w:szCs w:val="24"/>
        </w:rPr>
      </w:pPr>
      <w:r w:rsidRPr="004B701E">
        <w:rPr>
          <w:b/>
          <w:sz w:val="24"/>
          <w:szCs w:val="24"/>
        </w:rPr>
        <w:t>Q</w:t>
      </w:r>
      <w:r>
        <w:rPr>
          <w:b/>
          <w:sz w:val="24"/>
          <w:szCs w:val="24"/>
        </w:rPr>
        <w:t>.</w:t>
      </w:r>
      <w:r>
        <w:rPr>
          <w:b/>
          <w:sz w:val="24"/>
          <w:szCs w:val="24"/>
        </w:rPr>
        <w:tab/>
      </w:r>
      <w:r w:rsidR="00A358CE">
        <w:rPr>
          <w:b/>
          <w:sz w:val="24"/>
          <w:szCs w:val="24"/>
        </w:rPr>
        <w:t xml:space="preserve">What does Mr. Pollock claim regarding the need to “moderate” the rate increase due to “cost-shifting” associated with the </w:t>
      </w:r>
      <w:r w:rsidR="00A61794">
        <w:rPr>
          <w:b/>
          <w:sz w:val="24"/>
          <w:szCs w:val="24"/>
        </w:rPr>
        <w:t xml:space="preserve">update to the </w:t>
      </w:r>
      <w:r w:rsidR="00A358CE">
        <w:rPr>
          <w:b/>
          <w:sz w:val="24"/>
          <w:szCs w:val="24"/>
        </w:rPr>
        <w:t>4CP allocation factor?</w:t>
      </w:r>
    </w:p>
    <w:p w:rsidR="008116D0" w:rsidRDefault="00A358CE" w:rsidP="002D6159">
      <w:pPr>
        <w:spacing w:line="480" w:lineRule="auto"/>
        <w:ind w:left="720" w:hanging="720"/>
        <w:jc w:val="both"/>
        <w:rPr>
          <w:sz w:val="24"/>
          <w:szCs w:val="24"/>
        </w:rPr>
      </w:pPr>
      <w:r w:rsidRPr="00D462A1">
        <w:rPr>
          <w:sz w:val="24"/>
          <w:szCs w:val="24"/>
        </w:rPr>
        <w:t>A.</w:t>
      </w:r>
      <w:r w:rsidRPr="00D462A1">
        <w:rPr>
          <w:sz w:val="24"/>
          <w:szCs w:val="24"/>
        </w:rPr>
        <w:tab/>
      </w:r>
      <w:r w:rsidR="00975F66">
        <w:rPr>
          <w:sz w:val="24"/>
          <w:szCs w:val="24"/>
        </w:rPr>
        <w:t xml:space="preserve">Mr. Pollock’s </w:t>
      </w:r>
      <w:r w:rsidR="001D571F">
        <w:rPr>
          <w:sz w:val="24"/>
          <w:szCs w:val="24"/>
        </w:rPr>
        <w:t xml:space="preserve">gradualism proposal </w:t>
      </w:r>
      <w:r w:rsidR="00975F66">
        <w:rPr>
          <w:sz w:val="24"/>
          <w:szCs w:val="24"/>
        </w:rPr>
        <w:t xml:space="preserve">departs a bit </w:t>
      </w:r>
      <w:r w:rsidR="001D571F">
        <w:rPr>
          <w:sz w:val="24"/>
          <w:szCs w:val="24"/>
        </w:rPr>
        <w:t>from the typical process discussed above, in that he proposes that rate moderation be implemented by moderating the change to the 4CP class allocation factor</w:t>
      </w:r>
      <w:r w:rsidR="000A5EE5">
        <w:rPr>
          <w:sz w:val="24"/>
          <w:szCs w:val="24"/>
        </w:rPr>
        <w:t>;</w:t>
      </w:r>
      <w:r w:rsidR="00975F66">
        <w:rPr>
          <w:sz w:val="24"/>
          <w:szCs w:val="24"/>
        </w:rPr>
        <w:t xml:space="preserve"> however</w:t>
      </w:r>
      <w:r w:rsidR="000A5EE5">
        <w:rPr>
          <w:sz w:val="24"/>
          <w:szCs w:val="24"/>
        </w:rPr>
        <w:t>,</w:t>
      </w:r>
      <w:r w:rsidR="00975F66">
        <w:rPr>
          <w:sz w:val="24"/>
          <w:szCs w:val="24"/>
        </w:rPr>
        <w:t xml:space="preserve"> it ultimately amounts to the same proposal to avoid setting rates based on cost as reflected using the appropriate Test Year allocation factors</w:t>
      </w:r>
      <w:r w:rsidR="001D571F">
        <w:rPr>
          <w:sz w:val="24"/>
          <w:szCs w:val="24"/>
        </w:rPr>
        <w:t>.</w:t>
      </w:r>
      <w:r w:rsidR="00975F66">
        <w:rPr>
          <w:rStyle w:val="FootnoteReference"/>
          <w:sz w:val="24"/>
          <w:szCs w:val="24"/>
        </w:rPr>
        <w:footnoteReference w:id="20"/>
      </w:r>
      <w:r w:rsidR="001D571F">
        <w:rPr>
          <w:sz w:val="24"/>
          <w:szCs w:val="24"/>
        </w:rPr>
        <w:t xml:space="preserve">  </w:t>
      </w:r>
      <w:r w:rsidR="00D462A1">
        <w:rPr>
          <w:sz w:val="24"/>
          <w:szCs w:val="24"/>
        </w:rPr>
        <w:t>Mr. Pollock provides a table comparing the 4CP allocation factor</w:t>
      </w:r>
      <w:r w:rsidR="000A5EE5">
        <w:rPr>
          <w:sz w:val="24"/>
          <w:szCs w:val="24"/>
        </w:rPr>
        <w:t xml:space="preserve"> values</w:t>
      </w:r>
      <w:r w:rsidR="00D462A1">
        <w:rPr>
          <w:sz w:val="24"/>
          <w:szCs w:val="24"/>
        </w:rPr>
        <w:t xml:space="preserve"> approved in CenterPoint’s last rate case with the one proposed by CenterPoint in this proceeding.  This </w:t>
      </w:r>
      <w:r w:rsidR="0005230A">
        <w:rPr>
          <w:sz w:val="24"/>
          <w:szCs w:val="24"/>
        </w:rPr>
        <w:t>T</w:t>
      </w:r>
      <w:r w:rsidR="00D462A1">
        <w:rPr>
          <w:sz w:val="24"/>
          <w:szCs w:val="24"/>
        </w:rPr>
        <w:t xml:space="preserve">able </w:t>
      </w:r>
      <w:r w:rsidR="0005230A">
        <w:rPr>
          <w:sz w:val="24"/>
          <w:szCs w:val="24"/>
        </w:rPr>
        <w:t xml:space="preserve">8 in his testimony </w:t>
      </w:r>
      <w:r w:rsidR="00D462A1">
        <w:rPr>
          <w:sz w:val="24"/>
          <w:szCs w:val="24"/>
        </w:rPr>
        <w:t>shows that the value of the allocation factor for the</w:t>
      </w:r>
      <w:r w:rsidR="0005230A">
        <w:rPr>
          <w:sz w:val="24"/>
          <w:szCs w:val="24"/>
        </w:rPr>
        <w:t xml:space="preserve"> retail</w:t>
      </w:r>
      <w:r w:rsidR="00D462A1">
        <w:rPr>
          <w:sz w:val="24"/>
          <w:szCs w:val="24"/>
        </w:rPr>
        <w:t xml:space="preserve"> Transmiss</w:t>
      </w:r>
      <w:r w:rsidR="006F1977">
        <w:rPr>
          <w:sz w:val="24"/>
          <w:szCs w:val="24"/>
        </w:rPr>
        <w:t xml:space="preserve">ion class increases from 12.22% </w:t>
      </w:r>
      <w:r w:rsidR="00A43FC8">
        <w:rPr>
          <w:sz w:val="24"/>
          <w:szCs w:val="24"/>
        </w:rPr>
        <w:t xml:space="preserve">(in the “Current” column) </w:t>
      </w:r>
      <w:r w:rsidR="006F1977">
        <w:rPr>
          <w:sz w:val="24"/>
          <w:szCs w:val="24"/>
        </w:rPr>
        <w:t>to 14.92% between rate cases, and he claims this increase is “extreme and would result in rate shock.”</w:t>
      </w:r>
      <w:r w:rsidR="006F1977">
        <w:rPr>
          <w:rStyle w:val="FootnoteReference"/>
          <w:sz w:val="24"/>
          <w:szCs w:val="24"/>
        </w:rPr>
        <w:footnoteReference w:id="21"/>
      </w:r>
      <w:r w:rsidR="006F1977">
        <w:rPr>
          <w:sz w:val="24"/>
          <w:szCs w:val="24"/>
        </w:rPr>
        <w:t xml:space="preserve">  </w:t>
      </w:r>
      <w:r w:rsidR="00D462A1" w:rsidRPr="00D462A1">
        <w:rPr>
          <w:sz w:val="24"/>
          <w:szCs w:val="24"/>
        </w:rPr>
        <w:t xml:space="preserve">While he </w:t>
      </w:r>
      <w:r w:rsidR="000A5EE5">
        <w:rPr>
          <w:sz w:val="24"/>
          <w:szCs w:val="24"/>
        </w:rPr>
        <w:t>does not use</w:t>
      </w:r>
      <w:r w:rsidR="00D462A1" w:rsidRPr="00D462A1">
        <w:rPr>
          <w:sz w:val="24"/>
          <w:szCs w:val="24"/>
        </w:rPr>
        <w:t xml:space="preserve"> the term, Mr. Pollock is essentially arguing for a “gradualism” adjustment, wherein instead of establishing rates base on cost as required under 16 TAC § 25.234(a)</w:t>
      </w:r>
      <w:r w:rsidR="00D462A1">
        <w:rPr>
          <w:sz w:val="24"/>
          <w:szCs w:val="24"/>
        </w:rPr>
        <w:t xml:space="preserve">, the rate increase is “moderated” for certain classes.  This “moderation” would result in the </w:t>
      </w:r>
      <w:r w:rsidR="006F1977">
        <w:rPr>
          <w:sz w:val="24"/>
          <w:szCs w:val="24"/>
        </w:rPr>
        <w:t xml:space="preserve">rates for the beneficiary class </w:t>
      </w:r>
      <w:r w:rsidR="00D462A1">
        <w:rPr>
          <w:sz w:val="24"/>
          <w:szCs w:val="24"/>
        </w:rPr>
        <w:t>being set below cost, with the other classes bearing the burden of this subsidization by having rates established that are above cost.</w:t>
      </w:r>
      <w:r w:rsidR="006F1977">
        <w:rPr>
          <w:sz w:val="24"/>
          <w:szCs w:val="24"/>
        </w:rPr>
        <w:t xml:space="preserve">  Mr. Pollock states that adopting moderated 4CP allocation factors </w:t>
      </w:r>
      <w:r w:rsidR="0005230A">
        <w:rPr>
          <w:sz w:val="24"/>
          <w:szCs w:val="24"/>
        </w:rPr>
        <w:t>“</w:t>
      </w:r>
      <w:r w:rsidR="006F1977">
        <w:rPr>
          <w:sz w:val="24"/>
          <w:szCs w:val="24"/>
        </w:rPr>
        <w:t xml:space="preserve">would </w:t>
      </w:r>
      <w:r w:rsidR="0005230A">
        <w:rPr>
          <w:sz w:val="24"/>
          <w:szCs w:val="24"/>
        </w:rPr>
        <w:t xml:space="preserve">appropriately </w:t>
      </w:r>
      <w:r w:rsidR="006F1977">
        <w:rPr>
          <w:sz w:val="24"/>
          <w:szCs w:val="24"/>
        </w:rPr>
        <w:t xml:space="preserve">temper what </w:t>
      </w:r>
      <w:r w:rsidR="006F1977">
        <w:rPr>
          <w:i/>
          <w:sz w:val="24"/>
          <w:szCs w:val="24"/>
        </w:rPr>
        <w:t>could</w:t>
      </w:r>
      <w:r w:rsidR="006F1977">
        <w:rPr>
          <w:b/>
          <w:sz w:val="24"/>
          <w:szCs w:val="24"/>
        </w:rPr>
        <w:t xml:space="preserve"> </w:t>
      </w:r>
      <w:r w:rsidR="006F1977">
        <w:rPr>
          <w:sz w:val="24"/>
          <w:szCs w:val="24"/>
        </w:rPr>
        <w:t>otherwise be massive cost-shifts resulting in very large deliver</w:t>
      </w:r>
      <w:r w:rsidR="0005230A">
        <w:rPr>
          <w:sz w:val="24"/>
          <w:szCs w:val="24"/>
        </w:rPr>
        <w:t>y</w:t>
      </w:r>
      <w:r w:rsidR="006F1977">
        <w:rPr>
          <w:sz w:val="24"/>
          <w:szCs w:val="24"/>
        </w:rPr>
        <w:t xml:space="preserve"> rate increases.”</w:t>
      </w:r>
      <w:r w:rsidR="006F1977">
        <w:rPr>
          <w:rStyle w:val="FootnoteReference"/>
          <w:sz w:val="24"/>
          <w:szCs w:val="24"/>
        </w:rPr>
        <w:footnoteReference w:id="22"/>
      </w:r>
      <w:r w:rsidR="006F1977">
        <w:rPr>
          <w:sz w:val="24"/>
          <w:szCs w:val="24"/>
        </w:rPr>
        <w:t xml:space="preserve">  He further claims that this gradualist approach is not contrary to establishing cost based rates because the situation arises due to flaws in the current TCRF rule.</w:t>
      </w:r>
      <w:r w:rsidR="006F1977">
        <w:rPr>
          <w:rStyle w:val="FootnoteReference"/>
          <w:sz w:val="24"/>
          <w:szCs w:val="24"/>
        </w:rPr>
        <w:footnoteReference w:id="23"/>
      </w:r>
      <w:r w:rsidR="0005230A">
        <w:rPr>
          <w:sz w:val="24"/>
          <w:szCs w:val="24"/>
        </w:rPr>
        <w:t xml:space="preserve">  Contrary to Mr. Pollock’s claims, and as discussed below, setting rates at cost would not result in massive cost-shifts or very large overall rate increases.</w:t>
      </w:r>
    </w:p>
    <w:p w:rsidR="00623D94" w:rsidRPr="006F1977" w:rsidRDefault="00623D94" w:rsidP="00623D94">
      <w:pPr>
        <w:spacing w:line="480" w:lineRule="auto"/>
        <w:ind w:left="720" w:hanging="720"/>
        <w:jc w:val="both"/>
        <w:rPr>
          <w:b/>
          <w:sz w:val="24"/>
          <w:szCs w:val="24"/>
        </w:rPr>
      </w:pPr>
      <w:r w:rsidRPr="006F1977">
        <w:rPr>
          <w:b/>
          <w:sz w:val="24"/>
          <w:szCs w:val="24"/>
        </w:rPr>
        <w:t>Q.</w:t>
      </w:r>
      <w:r w:rsidRPr="006F1977">
        <w:rPr>
          <w:b/>
          <w:sz w:val="24"/>
          <w:szCs w:val="24"/>
        </w:rPr>
        <w:tab/>
        <w:t xml:space="preserve">Which customers would be expected to benefit most from Mr. </w:t>
      </w:r>
      <w:r>
        <w:rPr>
          <w:b/>
          <w:sz w:val="24"/>
          <w:szCs w:val="24"/>
        </w:rPr>
        <w:t>Pollock’s</w:t>
      </w:r>
      <w:r w:rsidRPr="006F1977">
        <w:rPr>
          <w:b/>
          <w:sz w:val="24"/>
          <w:szCs w:val="24"/>
        </w:rPr>
        <w:t xml:space="preserve"> proposal?</w:t>
      </w:r>
    </w:p>
    <w:p w:rsidR="00A43FC8" w:rsidRDefault="00623D94" w:rsidP="002D6159">
      <w:pPr>
        <w:spacing w:line="480" w:lineRule="auto"/>
        <w:ind w:left="720" w:hanging="720"/>
        <w:jc w:val="both"/>
        <w:rPr>
          <w:sz w:val="24"/>
          <w:szCs w:val="24"/>
        </w:rPr>
      </w:pPr>
      <w:r w:rsidRPr="006F1977">
        <w:rPr>
          <w:sz w:val="24"/>
          <w:szCs w:val="24"/>
        </w:rPr>
        <w:t>A.</w:t>
      </w:r>
      <w:r w:rsidRPr="006F1977">
        <w:rPr>
          <w:sz w:val="24"/>
          <w:szCs w:val="24"/>
        </w:rPr>
        <w:tab/>
        <w:t xml:space="preserve">Typically, the </w:t>
      </w:r>
      <w:r>
        <w:rPr>
          <w:sz w:val="24"/>
          <w:szCs w:val="24"/>
        </w:rPr>
        <w:t xml:space="preserve">rate class or </w:t>
      </w:r>
      <w:r w:rsidRPr="006F1977">
        <w:rPr>
          <w:sz w:val="24"/>
          <w:szCs w:val="24"/>
        </w:rPr>
        <w:t xml:space="preserve">classes that face the largest revenue requirement increases under full movement to cost are the ones that benefit most from any rate moderation applied.  Under </w:t>
      </w:r>
      <w:r>
        <w:rPr>
          <w:sz w:val="24"/>
          <w:szCs w:val="24"/>
        </w:rPr>
        <w:t>CenterPoint’s</w:t>
      </w:r>
      <w:r w:rsidRPr="006F1977">
        <w:rPr>
          <w:sz w:val="24"/>
          <w:szCs w:val="24"/>
        </w:rPr>
        <w:t xml:space="preserve"> request, the </w:t>
      </w:r>
      <w:r>
        <w:rPr>
          <w:sz w:val="24"/>
          <w:szCs w:val="24"/>
        </w:rPr>
        <w:t>only rate class facing an increase to its 4CP class allocation value is the retail Transmission Service class</w:t>
      </w:r>
      <w:r w:rsidRPr="006F1977">
        <w:rPr>
          <w:sz w:val="24"/>
          <w:szCs w:val="24"/>
        </w:rPr>
        <w:t xml:space="preserve">.  Thus, Mr. </w:t>
      </w:r>
      <w:r>
        <w:rPr>
          <w:sz w:val="24"/>
          <w:szCs w:val="24"/>
        </w:rPr>
        <w:t>Pollock’s</w:t>
      </w:r>
      <w:r w:rsidRPr="006F1977">
        <w:rPr>
          <w:sz w:val="24"/>
          <w:szCs w:val="24"/>
        </w:rPr>
        <w:t xml:space="preserve"> position on gradual</w:t>
      </w:r>
      <w:r>
        <w:rPr>
          <w:sz w:val="24"/>
          <w:szCs w:val="24"/>
        </w:rPr>
        <w:t>ism would primarily benefit the industrial customers</w:t>
      </w:r>
      <w:r w:rsidRPr="006F1977">
        <w:rPr>
          <w:sz w:val="24"/>
          <w:szCs w:val="24"/>
        </w:rPr>
        <w:t xml:space="preserve"> on whose behalf he is testifying, by </w:t>
      </w:r>
      <w:r>
        <w:rPr>
          <w:sz w:val="24"/>
          <w:szCs w:val="24"/>
        </w:rPr>
        <w:t>reducing the increase they would face if rates were set at cost</w:t>
      </w:r>
      <w:r w:rsidR="00AE11B1">
        <w:rPr>
          <w:sz w:val="24"/>
          <w:szCs w:val="24"/>
        </w:rPr>
        <w:t>, as reflected using the “unmoderated” 4CP class allocation factor</w:t>
      </w:r>
      <w:r w:rsidRPr="006F1977">
        <w:rPr>
          <w:sz w:val="24"/>
          <w:szCs w:val="24"/>
        </w:rPr>
        <w:t>.</w:t>
      </w:r>
      <w:r w:rsidR="0005230A">
        <w:rPr>
          <w:sz w:val="24"/>
          <w:szCs w:val="24"/>
        </w:rPr>
        <w:t xml:space="preserve">  CenterPoint’s proposed retail transmission function revenue requirement is approximately $943 million, </w:t>
      </w:r>
      <w:r w:rsidR="00A43FC8">
        <w:rPr>
          <w:sz w:val="24"/>
          <w:szCs w:val="24"/>
        </w:rPr>
        <w:t xml:space="preserve">so a one percentage point reduction in the 4CP class allocation factor value for the retail Transmission rate class would reduce the class revenue requirement by about $9 million out of the proposed $162 million, shifting </w:t>
      </w:r>
      <w:r w:rsidR="00A61794">
        <w:rPr>
          <w:sz w:val="24"/>
          <w:szCs w:val="24"/>
        </w:rPr>
        <w:t>cost recovery of that $9 million</w:t>
      </w:r>
      <w:r w:rsidR="00A43FC8">
        <w:rPr>
          <w:sz w:val="24"/>
          <w:szCs w:val="24"/>
        </w:rPr>
        <w:t xml:space="preserve"> onto other customers.</w:t>
      </w:r>
    </w:p>
    <w:p w:rsidR="003C47B1" w:rsidRDefault="003C47B1" w:rsidP="002D6159">
      <w:pPr>
        <w:spacing w:line="480" w:lineRule="auto"/>
        <w:ind w:left="720" w:hanging="720"/>
        <w:jc w:val="both"/>
        <w:rPr>
          <w:b/>
          <w:sz w:val="24"/>
          <w:szCs w:val="24"/>
        </w:rPr>
      </w:pPr>
      <w:r>
        <w:rPr>
          <w:b/>
          <w:sz w:val="24"/>
          <w:szCs w:val="24"/>
        </w:rPr>
        <w:t>Q.</w:t>
      </w:r>
      <w:r>
        <w:rPr>
          <w:b/>
          <w:sz w:val="24"/>
          <w:szCs w:val="24"/>
        </w:rPr>
        <w:tab/>
        <w:t xml:space="preserve">Is the 22.1% increase indicated in Mr. Pollock’s Table 8 representative of the actual rate increase faced by the retail Transmission </w:t>
      </w:r>
      <w:r w:rsidR="0005230A">
        <w:rPr>
          <w:b/>
          <w:sz w:val="24"/>
          <w:szCs w:val="24"/>
        </w:rPr>
        <w:t xml:space="preserve">rate </w:t>
      </w:r>
      <w:r>
        <w:rPr>
          <w:b/>
          <w:sz w:val="24"/>
          <w:szCs w:val="24"/>
        </w:rPr>
        <w:t>class</w:t>
      </w:r>
      <w:r w:rsidR="00DA7956">
        <w:rPr>
          <w:b/>
          <w:sz w:val="24"/>
          <w:szCs w:val="24"/>
        </w:rPr>
        <w:t xml:space="preserve"> in this proceeding</w:t>
      </w:r>
      <w:r>
        <w:rPr>
          <w:b/>
          <w:sz w:val="24"/>
          <w:szCs w:val="24"/>
        </w:rPr>
        <w:t>?</w:t>
      </w:r>
    </w:p>
    <w:p w:rsidR="00DA7956" w:rsidRDefault="003C47B1" w:rsidP="002D6159">
      <w:pPr>
        <w:spacing w:line="480" w:lineRule="auto"/>
        <w:ind w:left="720" w:hanging="720"/>
        <w:jc w:val="both"/>
        <w:rPr>
          <w:sz w:val="24"/>
          <w:szCs w:val="24"/>
        </w:rPr>
      </w:pPr>
      <w:r>
        <w:rPr>
          <w:sz w:val="24"/>
          <w:szCs w:val="24"/>
        </w:rPr>
        <w:t>A.</w:t>
      </w:r>
      <w:r>
        <w:rPr>
          <w:sz w:val="24"/>
          <w:szCs w:val="24"/>
        </w:rPr>
        <w:tab/>
        <w:t>No.  Mr. Pollock obtains that number by comparing the allocation factor from the previous case to the allocation factor proposed by CenterPoint.  This is an inapposite comparison for two reasons.</w:t>
      </w:r>
    </w:p>
    <w:p w:rsidR="003C47B1" w:rsidRDefault="003C47B1" w:rsidP="00DA7956">
      <w:pPr>
        <w:spacing w:line="480" w:lineRule="auto"/>
        <w:ind w:left="720" w:firstLine="720"/>
        <w:jc w:val="both"/>
        <w:rPr>
          <w:sz w:val="24"/>
          <w:szCs w:val="24"/>
        </w:rPr>
      </w:pPr>
      <w:r>
        <w:rPr>
          <w:sz w:val="24"/>
          <w:szCs w:val="24"/>
        </w:rPr>
        <w:t xml:space="preserve">First, the total </w:t>
      </w:r>
      <w:r w:rsidR="00A43FC8">
        <w:rPr>
          <w:sz w:val="24"/>
          <w:szCs w:val="24"/>
        </w:rPr>
        <w:t xml:space="preserve">present </w:t>
      </w:r>
      <w:r>
        <w:rPr>
          <w:sz w:val="24"/>
          <w:szCs w:val="24"/>
        </w:rPr>
        <w:t>revenues paid by current customers are not entirely based on the 4CP allocation factor from CenterPoint’s last rate case</w:t>
      </w:r>
      <w:r w:rsidR="00A43FC8">
        <w:rPr>
          <w:sz w:val="24"/>
          <w:szCs w:val="24"/>
        </w:rPr>
        <w:t>, so Mr. Pollock’s use of the “Current” label in Table 8 is not accurate</w:t>
      </w:r>
      <w:r>
        <w:rPr>
          <w:sz w:val="24"/>
          <w:szCs w:val="24"/>
        </w:rPr>
        <w:t>.  As Mr. Pollock himself points out elsewhere in his testimony discussing the flaws in the TCRF formula, load growth between rate cases results in a level of rate revenue that differs from the previously established allocation factor.</w:t>
      </w:r>
      <w:r>
        <w:rPr>
          <w:rStyle w:val="FootnoteReference"/>
          <w:sz w:val="24"/>
          <w:szCs w:val="24"/>
        </w:rPr>
        <w:footnoteReference w:id="24"/>
      </w:r>
      <w:r>
        <w:rPr>
          <w:sz w:val="24"/>
          <w:szCs w:val="24"/>
        </w:rPr>
        <w:t xml:space="preserve">  </w:t>
      </w:r>
      <w:r w:rsidR="00A61794">
        <w:rPr>
          <w:sz w:val="24"/>
          <w:szCs w:val="24"/>
        </w:rPr>
        <w:t>In other words, d</w:t>
      </w:r>
      <w:r>
        <w:rPr>
          <w:sz w:val="24"/>
          <w:szCs w:val="24"/>
        </w:rPr>
        <w:t xml:space="preserve">ue to load growth since the last rate case, the retail Transmission service class is paying more than the 12.22% </w:t>
      </w:r>
      <w:r w:rsidR="00A43FC8">
        <w:rPr>
          <w:sz w:val="24"/>
          <w:szCs w:val="24"/>
        </w:rPr>
        <w:t xml:space="preserve">“Current” </w:t>
      </w:r>
      <w:r>
        <w:rPr>
          <w:sz w:val="24"/>
          <w:szCs w:val="24"/>
        </w:rPr>
        <w:t>share</w:t>
      </w:r>
      <w:r w:rsidR="00623D94">
        <w:rPr>
          <w:sz w:val="24"/>
          <w:szCs w:val="24"/>
        </w:rPr>
        <w:t xml:space="preserve"> from CenterPoint’s last rate case</w:t>
      </w:r>
      <w:r>
        <w:rPr>
          <w:sz w:val="24"/>
          <w:szCs w:val="24"/>
        </w:rPr>
        <w:t xml:space="preserve"> indicated in Mr. Pollock’s Table 8, as its load has grown faster than average.  Thus the increase faced by the retail Transmission Service class due to updating the 4CP allocation factor is less than the 22.1% that Mr. Pol</w:t>
      </w:r>
      <w:r w:rsidR="00DA7956">
        <w:rPr>
          <w:sz w:val="24"/>
          <w:szCs w:val="24"/>
        </w:rPr>
        <w:t>lock suggests</w:t>
      </w:r>
      <w:r w:rsidR="0005230A">
        <w:rPr>
          <w:sz w:val="24"/>
          <w:szCs w:val="24"/>
        </w:rPr>
        <w:t xml:space="preserve"> in Table 8 of his testimony</w:t>
      </w:r>
      <w:r w:rsidR="00DA7956">
        <w:rPr>
          <w:sz w:val="24"/>
          <w:szCs w:val="24"/>
        </w:rPr>
        <w:t>.  This can be seen by the fact that, at CenterPoint’s filed request, the retail Transmission Service class is facing only a 13.42% increase in base and TCRF revenue requirement,</w:t>
      </w:r>
      <w:r w:rsidR="00DA7956">
        <w:rPr>
          <w:rStyle w:val="FootnoteReference"/>
          <w:sz w:val="24"/>
          <w:szCs w:val="24"/>
        </w:rPr>
        <w:footnoteReference w:id="25"/>
      </w:r>
      <w:r w:rsidR="00DA7956">
        <w:rPr>
          <w:sz w:val="24"/>
          <w:szCs w:val="24"/>
        </w:rPr>
        <w:t xml:space="preserve"> which falls to 11.8% when considering the Rider UEDIT credit.</w:t>
      </w:r>
      <w:r w:rsidR="00DA7956">
        <w:rPr>
          <w:rStyle w:val="FootnoteReference"/>
          <w:sz w:val="24"/>
          <w:szCs w:val="24"/>
        </w:rPr>
        <w:footnoteReference w:id="26"/>
      </w:r>
      <w:r w:rsidR="00A43FC8">
        <w:rPr>
          <w:sz w:val="24"/>
          <w:szCs w:val="24"/>
        </w:rPr>
        <w:t xml:space="preserve">  Mr. Pollock’s suggestion that industrial customers would be facing a 22.1% increase </w:t>
      </w:r>
      <w:r w:rsidR="00A61794">
        <w:rPr>
          <w:sz w:val="24"/>
          <w:szCs w:val="24"/>
        </w:rPr>
        <w:t>in the absence of “</w:t>
      </w:r>
      <w:r w:rsidR="00A43FC8">
        <w:rPr>
          <w:sz w:val="24"/>
          <w:szCs w:val="24"/>
        </w:rPr>
        <w:t>moderat</w:t>
      </w:r>
      <w:r w:rsidR="00A61794">
        <w:rPr>
          <w:sz w:val="24"/>
          <w:szCs w:val="24"/>
        </w:rPr>
        <w:t>ion</w:t>
      </w:r>
      <w:r w:rsidR="00A43FC8">
        <w:rPr>
          <w:sz w:val="24"/>
          <w:szCs w:val="24"/>
        </w:rPr>
        <w:t xml:space="preserve">” is belied by the fact that CenterPoint’s as-filed request </w:t>
      </w:r>
      <w:r w:rsidR="00192256">
        <w:rPr>
          <w:sz w:val="24"/>
          <w:szCs w:val="24"/>
        </w:rPr>
        <w:t>for these customers is only a</w:t>
      </w:r>
      <w:r w:rsidR="00A61794">
        <w:rPr>
          <w:sz w:val="24"/>
          <w:szCs w:val="24"/>
        </w:rPr>
        <w:t>n</w:t>
      </w:r>
      <w:r w:rsidR="00192256">
        <w:rPr>
          <w:sz w:val="24"/>
          <w:szCs w:val="24"/>
        </w:rPr>
        <w:t xml:space="preserve"> 11.8% increase.</w:t>
      </w:r>
    </w:p>
    <w:p w:rsidR="00DA7956" w:rsidRPr="003C47B1" w:rsidRDefault="00DA7956" w:rsidP="00192256">
      <w:pPr>
        <w:spacing w:line="480" w:lineRule="auto"/>
        <w:ind w:left="720" w:hanging="720"/>
        <w:jc w:val="both"/>
        <w:rPr>
          <w:sz w:val="24"/>
          <w:szCs w:val="24"/>
        </w:rPr>
      </w:pPr>
      <w:r>
        <w:rPr>
          <w:sz w:val="24"/>
          <w:szCs w:val="24"/>
        </w:rPr>
        <w:tab/>
      </w:r>
      <w:r>
        <w:rPr>
          <w:sz w:val="24"/>
          <w:szCs w:val="24"/>
        </w:rPr>
        <w:tab/>
        <w:t xml:space="preserve">Additionally, and as discussed in the direct testimony of Staff witness Murphy and in Mr. Pollock’s </w:t>
      </w:r>
      <w:r w:rsidR="00192256">
        <w:rPr>
          <w:sz w:val="24"/>
          <w:szCs w:val="24"/>
        </w:rPr>
        <w:t xml:space="preserve">own direct </w:t>
      </w:r>
      <w:r>
        <w:rPr>
          <w:sz w:val="24"/>
          <w:szCs w:val="24"/>
        </w:rPr>
        <w:t xml:space="preserve">testimony, CenterPoint’s proposed 4CP allocation factor is a departure from past Commission precedent.  If the Commission were to adhere to its precedent, the </w:t>
      </w:r>
      <w:r w:rsidR="00623D94">
        <w:rPr>
          <w:sz w:val="24"/>
          <w:szCs w:val="24"/>
        </w:rPr>
        <w:t>4CP allocation factor value for the retail Transmission class would be 13.46%,</w:t>
      </w:r>
      <w:r w:rsidR="00623D94">
        <w:rPr>
          <w:rStyle w:val="FootnoteReference"/>
          <w:sz w:val="24"/>
          <w:szCs w:val="24"/>
        </w:rPr>
        <w:footnoteReference w:id="27"/>
      </w:r>
      <w:r w:rsidR="00623D94">
        <w:rPr>
          <w:sz w:val="24"/>
          <w:szCs w:val="24"/>
        </w:rPr>
        <w:t xml:space="preserve"> not the 14.92% i</w:t>
      </w:r>
      <w:r w:rsidR="00AE11B1">
        <w:rPr>
          <w:sz w:val="24"/>
          <w:szCs w:val="24"/>
        </w:rPr>
        <w:t>ncrease proposed by CenterPoint</w:t>
      </w:r>
      <w:r w:rsidR="00623D94">
        <w:rPr>
          <w:sz w:val="24"/>
          <w:szCs w:val="24"/>
        </w:rPr>
        <w:t xml:space="preserve"> and used in Mr. Pollock’s comparison.</w:t>
      </w:r>
      <w:r w:rsidR="00192256">
        <w:rPr>
          <w:sz w:val="24"/>
          <w:szCs w:val="24"/>
        </w:rPr>
        <w:t xml:space="preserve">  Putting aside </w:t>
      </w:r>
      <w:r w:rsidR="00A61794">
        <w:rPr>
          <w:sz w:val="24"/>
          <w:szCs w:val="24"/>
        </w:rPr>
        <w:t xml:space="preserve">for a moment </w:t>
      </w:r>
      <w:r w:rsidR="00192256">
        <w:rPr>
          <w:sz w:val="24"/>
          <w:szCs w:val="24"/>
        </w:rPr>
        <w:t xml:space="preserve">the </w:t>
      </w:r>
      <w:r w:rsidR="00A61794">
        <w:rPr>
          <w:sz w:val="24"/>
          <w:szCs w:val="24"/>
        </w:rPr>
        <w:t>inaccuracy of the</w:t>
      </w:r>
      <w:r w:rsidR="00192256">
        <w:rPr>
          <w:sz w:val="24"/>
          <w:szCs w:val="24"/>
        </w:rPr>
        <w:t xml:space="preserve"> “Current” label in Mr. Pollock’s Table 8, and including the 13.46% value consistent with precedent into Table 8 (instead of the Company’s proposed 14.92% value) would produce a 4CP class allocation factor change of approximately 10% for retail Transmission customers, instead of Mr. Pollock’s claimed 22.1%.  A 10% increase in delivery charges does not rise to the level of rate shock that would justify departing from the requiremen</w:t>
      </w:r>
      <w:r w:rsidR="00B85CE5">
        <w:rPr>
          <w:sz w:val="24"/>
          <w:szCs w:val="24"/>
        </w:rPr>
        <w:t xml:space="preserve">t that rates be based on cost, nor does the Company’s proposed 11.8% </w:t>
      </w:r>
      <w:r w:rsidR="000B5DE1">
        <w:rPr>
          <w:sz w:val="24"/>
          <w:szCs w:val="24"/>
        </w:rPr>
        <w:t xml:space="preserve">overall </w:t>
      </w:r>
      <w:r w:rsidR="00B85CE5">
        <w:rPr>
          <w:sz w:val="24"/>
          <w:szCs w:val="24"/>
        </w:rPr>
        <w:t>increase</w:t>
      </w:r>
      <w:r w:rsidR="000B5DE1">
        <w:rPr>
          <w:sz w:val="24"/>
          <w:szCs w:val="24"/>
        </w:rPr>
        <w:t xml:space="preserve"> for these customers</w:t>
      </w:r>
      <w:r w:rsidR="00B85CE5">
        <w:rPr>
          <w:sz w:val="24"/>
          <w:szCs w:val="24"/>
        </w:rPr>
        <w:t>.</w:t>
      </w:r>
    </w:p>
    <w:p w:rsidR="00F50E69" w:rsidRPr="00F50E69" w:rsidRDefault="00F50E69" w:rsidP="00F50E69">
      <w:pPr>
        <w:spacing w:line="480" w:lineRule="auto"/>
        <w:ind w:left="720" w:hanging="720"/>
        <w:jc w:val="both"/>
        <w:rPr>
          <w:b/>
          <w:sz w:val="24"/>
          <w:szCs w:val="24"/>
        </w:rPr>
      </w:pPr>
      <w:r w:rsidRPr="00F50E69">
        <w:rPr>
          <w:b/>
          <w:sz w:val="24"/>
          <w:szCs w:val="24"/>
        </w:rPr>
        <w:t>Q.</w:t>
      </w:r>
      <w:r w:rsidRPr="00F50E69">
        <w:rPr>
          <w:b/>
          <w:sz w:val="24"/>
          <w:szCs w:val="24"/>
        </w:rPr>
        <w:tab/>
        <w:t>Is Mr. P</w:t>
      </w:r>
      <w:r>
        <w:rPr>
          <w:b/>
          <w:sz w:val="24"/>
          <w:szCs w:val="24"/>
        </w:rPr>
        <w:t>ollo</w:t>
      </w:r>
      <w:r w:rsidRPr="00F50E69">
        <w:rPr>
          <w:b/>
          <w:sz w:val="24"/>
          <w:szCs w:val="24"/>
        </w:rPr>
        <w:t xml:space="preserve">ck’s </w:t>
      </w:r>
      <w:r w:rsidR="000B5DE1">
        <w:rPr>
          <w:b/>
          <w:sz w:val="24"/>
          <w:szCs w:val="24"/>
        </w:rPr>
        <w:t>“moderation”</w:t>
      </w:r>
      <w:r w:rsidRPr="00F50E69">
        <w:rPr>
          <w:b/>
          <w:sz w:val="24"/>
          <w:szCs w:val="24"/>
        </w:rPr>
        <w:t xml:space="preserve"> proposal consistent with Commission precedent?</w:t>
      </w:r>
    </w:p>
    <w:p w:rsidR="0009369D" w:rsidRDefault="00F50E69" w:rsidP="0009369D">
      <w:pPr>
        <w:spacing w:line="480" w:lineRule="auto"/>
        <w:ind w:left="720" w:hanging="720"/>
        <w:jc w:val="both"/>
        <w:rPr>
          <w:sz w:val="24"/>
          <w:szCs w:val="24"/>
        </w:rPr>
      </w:pPr>
      <w:r w:rsidRPr="00F50E69">
        <w:rPr>
          <w:sz w:val="24"/>
          <w:szCs w:val="24"/>
        </w:rPr>
        <w:t>A.</w:t>
      </w:r>
      <w:r w:rsidRPr="00F50E69">
        <w:rPr>
          <w:sz w:val="24"/>
          <w:szCs w:val="24"/>
        </w:rPr>
        <w:tab/>
        <w:t xml:space="preserve">No.  Mr. Pollock’s proposal conflicts with Commission precedent in several ways.  It fails to </w:t>
      </w:r>
      <w:r w:rsidR="000B5DE1">
        <w:rPr>
          <w:sz w:val="24"/>
          <w:szCs w:val="24"/>
        </w:rPr>
        <w:t xml:space="preserve">adequately </w:t>
      </w:r>
      <w:r w:rsidRPr="00F50E69">
        <w:rPr>
          <w:sz w:val="24"/>
          <w:szCs w:val="24"/>
        </w:rPr>
        <w:t>address the</w:t>
      </w:r>
      <w:r w:rsidR="000B5DE1">
        <w:rPr>
          <w:sz w:val="24"/>
          <w:szCs w:val="24"/>
        </w:rPr>
        <w:t xml:space="preserve"> requirements of </w:t>
      </w:r>
      <w:r w:rsidR="000B5DE1" w:rsidRPr="001D571F">
        <w:rPr>
          <w:sz w:val="24"/>
          <w:szCs w:val="24"/>
        </w:rPr>
        <w:t>16 TAC § 25.234</w:t>
      </w:r>
      <w:r w:rsidR="000B5DE1">
        <w:rPr>
          <w:sz w:val="24"/>
          <w:szCs w:val="24"/>
        </w:rPr>
        <w:t>, the</w:t>
      </w:r>
      <w:r w:rsidRPr="00F50E69">
        <w:rPr>
          <w:sz w:val="24"/>
          <w:szCs w:val="24"/>
        </w:rPr>
        <w:t xml:space="preserve"> Commission’s preference for cost-based rates</w:t>
      </w:r>
      <w:r w:rsidR="000B5DE1">
        <w:rPr>
          <w:sz w:val="24"/>
          <w:szCs w:val="24"/>
        </w:rPr>
        <w:t>,</w:t>
      </w:r>
      <w:r w:rsidRPr="00F50E69">
        <w:rPr>
          <w:sz w:val="24"/>
          <w:szCs w:val="24"/>
        </w:rPr>
        <w:t xml:space="preserve"> and the standards that must be met before rate moderation is appropriately applied.  Furthermore, Mr. Pollock’s rate moderation proposal conflicts with recent Commission precedent with regards to how rate impacts are to be evaluated when considering </w:t>
      </w:r>
      <w:r w:rsidR="000B5DE1">
        <w:rPr>
          <w:sz w:val="24"/>
          <w:szCs w:val="24"/>
        </w:rPr>
        <w:t>the need for rate moderation or gradualist approaches</w:t>
      </w:r>
      <w:r w:rsidRPr="00F50E69">
        <w:rPr>
          <w:sz w:val="24"/>
          <w:szCs w:val="24"/>
        </w:rPr>
        <w:t>.</w:t>
      </w:r>
    </w:p>
    <w:p w:rsidR="00F50E69" w:rsidRPr="00F50E69" w:rsidRDefault="00F50E69" w:rsidP="00F50E69">
      <w:pPr>
        <w:spacing w:line="480" w:lineRule="auto"/>
        <w:ind w:left="720" w:hanging="720"/>
        <w:jc w:val="both"/>
        <w:rPr>
          <w:b/>
          <w:sz w:val="24"/>
          <w:szCs w:val="24"/>
        </w:rPr>
      </w:pPr>
      <w:r w:rsidRPr="00F50E69">
        <w:rPr>
          <w:b/>
          <w:sz w:val="24"/>
          <w:szCs w:val="24"/>
        </w:rPr>
        <w:t>Q.</w:t>
      </w:r>
      <w:r w:rsidRPr="00F50E69">
        <w:rPr>
          <w:b/>
          <w:sz w:val="24"/>
          <w:szCs w:val="24"/>
        </w:rPr>
        <w:tab/>
        <w:t>How does Mr. P</w:t>
      </w:r>
      <w:r>
        <w:rPr>
          <w:b/>
          <w:sz w:val="24"/>
          <w:szCs w:val="24"/>
        </w:rPr>
        <w:t>ollo</w:t>
      </w:r>
      <w:r w:rsidRPr="00F50E69">
        <w:rPr>
          <w:b/>
          <w:sz w:val="24"/>
          <w:szCs w:val="24"/>
        </w:rPr>
        <w:t>ck’s proposal fail to address the Commission’s standards for applying gradualism?</w:t>
      </w:r>
    </w:p>
    <w:p w:rsidR="00F50E69" w:rsidRPr="00F50E69" w:rsidRDefault="00F50E69" w:rsidP="00F50E69">
      <w:pPr>
        <w:spacing w:line="480" w:lineRule="auto"/>
        <w:ind w:left="720" w:hanging="720"/>
        <w:jc w:val="both"/>
        <w:rPr>
          <w:sz w:val="24"/>
          <w:szCs w:val="24"/>
        </w:rPr>
      </w:pPr>
      <w:r w:rsidRPr="00F50E69">
        <w:rPr>
          <w:sz w:val="24"/>
          <w:szCs w:val="24"/>
        </w:rPr>
        <w:t>A.</w:t>
      </w:r>
      <w:r w:rsidRPr="00F50E69">
        <w:rPr>
          <w:sz w:val="24"/>
          <w:szCs w:val="24"/>
        </w:rPr>
        <w:tab/>
      </w:r>
      <w:r w:rsidR="00975F66">
        <w:rPr>
          <w:sz w:val="24"/>
          <w:szCs w:val="24"/>
        </w:rPr>
        <w:t>As discussed above</w:t>
      </w:r>
      <w:r w:rsidRPr="00F50E69">
        <w:rPr>
          <w:sz w:val="24"/>
          <w:szCs w:val="24"/>
        </w:rPr>
        <w:t>, a gradualism adjustment is appropriate where movement to cost would result in an increase that is “out of proportion or harsh to a particular class,”</w:t>
      </w:r>
      <w:r w:rsidRPr="00F50E69">
        <w:rPr>
          <w:rStyle w:val="FootnoteReference"/>
          <w:sz w:val="24"/>
          <w:szCs w:val="24"/>
        </w:rPr>
        <w:footnoteReference w:id="28"/>
      </w:r>
      <w:r w:rsidRPr="00F50E69">
        <w:rPr>
          <w:sz w:val="24"/>
          <w:szCs w:val="24"/>
        </w:rPr>
        <w:t xml:space="preserve"> or where an increase is “</w:t>
      </w:r>
      <w:r w:rsidRPr="00F50E69">
        <w:rPr>
          <w:rFonts w:eastAsia="Calibri"/>
          <w:sz w:val="24"/>
          <w:szCs w:val="24"/>
        </w:rPr>
        <w:t>harsh to particular classes and promote rate shock</w:t>
      </w:r>
      <w:r w:rsidR="00975F66">
        <w:rPr>
          <w:rFonts w:eastAsia="Calibri"/>
          <w:sz w:val="24"/>
          <w:szCs w:val="24"/>
        </w:rPr>
        <w:t>;</w:t>
      </w:r>
      <w:r w:rsidRPr="00F50E69">
        <w:rPr>
          <w:rFonts w:eastAsia="Calibri"/>
          <w:sz w:val="24"/>
          <w:szCs w:val="24"/>
        </w:rPr>
        <w:t>”</w:t>
      </w:r>
      <w:r w:rsidRPr="00F50E69">
        <w:rPr>
          <w:rStyle w:val="FootnoteReference"/>
          <w:rFonts w:eastAsia="Calibri"/>
          <w:sz w:val="24"/>
          <w:szCs w:val="24"/>
        </w:rPr>
        <w:footnoteReference w:id="29"/>
      </w:r>
      <w:r w:rsidR="00975F66">
        <w:rPr>
          <w:rFonts w:eastAsia="Calibri"/>
          <w:sz w:val="24"/>
          <w:szCs w:val="24"/>
        </w:rPr>
        <w:t xml:space="preserve"> and the standard is more difficult to meet for TDUs such as CenterPoint, as compared to vertically</w:t>
      </w:r>
      <w:r w:rsidR="000A5EE5">
        <w:rPr>
          <w:rFonts w:eastAsia="Calibri"/>
          <w:sz w:val="24"/>
          <w:szCs w:val="24"/>
        </w:rPr>
        <w:t xml:space="preserve"> </w:t>
      </w:r>
      <w:r w:rsidR="00975F66">
        <w:rPr>
          <w:rFonts w:eastAsia="Calibri"/>
          <w:sz w:val="24"/>
          <w:szCs w:val="24"/>
        </w:rPr>
        <w:t>integrated utilities.</w:t>
      </w:r>
      <w:r w:rsidRPr="00F50E69">
        <w:rPr>
          <w:rFonts w:eastAsia="Calibri"/>
          <w:sz w:val="24"/>
          <w:szCs w:val="24"/>
        </w:rPr>
        <w:t xml:space="preserve">  In </w:t>
      </w:r>
      <w:r>
        <w:rPr>
          <w:rFonts w:eastAsia="Calibri"/>
          <w:sz w:val="24"/>
          <w:szCs w:val="24"/>
        </w:rPr>
        <w:t>Southwestern Public Service Company</w:t>
      </w:r>
      <w:r w:rsidRPr="00F50E69">
        <w:rPr>
          <w:rFonts w:eastAsia="Calibri"/>
          <w:sz w:val="24"/>
          <w:szCs w:val="24"/>
        </w:rPr>
        <w:t xml:space="preserve">’s </w:t>
      </w:r>
      <w:r>
        <w:rPr>
          <w:rFonts w:eastAsia="Calibri"/>
          <w:sz w:val="24"/>
          <w:szCs w:val="24"/>
        </w:rPr>
        <w:t xml:space="preserve">(“SPS”) </w:t>
      </w:r>
      <w:r w:rsidRPr="00F50E69">
        <w:rPr>
          <w:rFonts w:eastAsia="Calibri"/>
          <w:sz w:val="24"/>
          <w:szCs w:val="24"/>
        </w:rPr>
        <w:t>most recent fully</w:t>
      </w:r>
      <w:r w:rsidR="000A5EE5">
        <w:rPr>
          <w:rFonts w:eastAsia="Calibri"/>
          <w:sz w:val="24"/>
          <w:szCs w:val="24"/>
        </w:rPr>
        <w:t xml:space="preserve"> </w:t>
      </w:r>
      <w:r w:rsidRPr="00F50E69">
        <w:rPr>
          <w:rFonts w:eastAsia="Calibri"/>
          <w:sz w:val="24"/>
          <w:szCs w:val="24"/>
        </w:rPr>
        <w:t xml:space="preserve">litigated rate case, gradualism was a contested issue. </w:t>
      </w:r>
      <w:r w:rsidRPr="00F50E69">
        <w:rPr>
          <w:sz w:val="24"/>
          <w:szCs w:val="24"/>
        </w:rPr>
        <w:t xml:space="preserve"> In that proceeding, SPS</w:t>
      </w:r>
      <w:r w:rsidR="00975F66">
        <w:rPr>
          <w:sz w:val="24"/>
          <w:szCs w:val="24"/>
        </w:rPr>
        <w:t>, a vertically</w:t>
      </w:r>
      <w:r w:rsidR="000A5EE5">
        <w:rPr>
          <w:sz w:val="24"/>
          <w:szCs w:val="24"/>
        </w:rPr>
        <w:t xml:space="preserve"> </w:t>
      </w:r>
      <w:r w:rsidR="00975F66">
        <w:rPr>
          <w:sz w:val="24"/>
          <w:szCs w:val="24"/>
        </w:rPr>
        <w:t>integrated utility,</w:t>
      </w:r>
      <w:r w:rsidRPr="00F50E69">
        <w:rPr>
          <w:sz w:val="24"/>
          <w:szCs w:val="24"/>
        </w:rPr>
        <w:t xml:space="preserve"> and various parties opposed a class revenue distribution based on setting rates at cost, and instead proposed gradualism adjustments:</w:t>
      </w:r>
    </w:p>
    <w:p w:rsidR="00F50E69" w:rsidRPr="00F50E69" w:rsidRDefault="00F50E69" w:rsidP="00F50E69">
      <w:pPr>
        <w:pStyle w:val="BodyText"/>
        <w:spacing w:line="240" w:lineRule="auto"/>
        <w:ind w:left="1440" w:right="720"/>
        <w:jc w:val="both"/>
        <w:rPr>
          <w:b w:val="0"/>
        </w:rPr>
      </w:pPr>
      <w:r w:rsidRPr="00F50E69">
        <w:rPr>
          <w:b w:val="0"/>
        </w:rPr>
        <w:t>SPS requested rates based on a recent inter-class cost-of-service study (COS study), but with a two-step modification to result in the maximum base-revenue increase for any class being capped at 200% of the system-average increase and no class experiencing a rate decrease.  TIEC and Occidental Permian, Ltd. recommended a 150% average-system-wide-increase cap with no class experiencing an increase smaller than 50% of the system-average increase.  AXM advocated for a 175% average-system-increase cap.  DOE, OPUC, and Walmart supported a gradualism adjustment, depending on the final SPS revenue requirement and the impacts to each rate class.  Staff and Pioneer opposed any gradualism adjustment, asserting no customer class’s rates would be modified enough to create rate shock.  Thus, Staff and Pioneer argued, there is no justification for veering from the Commission’s long-standing guiding principle that costs should be borne by the classes who cause them.</w:t>
      </w:r>
      <w:r w:rsidRPr="00F50E69">
        <w:rPr>
          <w:rStyle w:val="FootnoteReference"/>
          <w:b w:val="0"/>
        </w:rPr>
        <w:footnoteReference w:id="30"/>
      </w:r>
    </w:p>
    <w:p w:rsidR="00F50E69" w:rsidRPr="00F50E69" w:rsidRDefault="00F50E69" w:rsidP="00F50E69">
      <w:pPr>
        <w:ind w:left="720" w:hanging="720"/>
        <w:jc w:val="both"/>
        <w:rPr>
          <w:sz w:val="24"/>
          <w:szCs w:val="24"/>
        </w:rPr>
      </w:pPr>
    </w:p>
    <w:p w:rsidR="00F50E69" w:rsidRPr="00F50E69" w:rsidRDefault="00F50E69" w:rsidP="00F50E69">
      <w:pPr>
        <w:pStyle w:val="BodyText"/>
        <w:ind w:left="720"/>
        <w:jc w:val="both"/>
        <w:rPr>
          <w:b w:val="0"/>
        </w:rPr>
      </w:pPr>
      <w:r w:rsidRPr="00F50E69">
        <w:rPr>
          <w:b w:val="0"/>
        </w:rPr>
        <w:t>The Commission’s order in Docket No. 43695 noted that the Proposal for Decision in that case adopted SPS’s proposed gradualism treatment:</w:t>
      </w:r>
    </w:p>
    <w:p w:rsidR="00F50E69" w:rsidRPr="00F50E69" w:rsidRDefault="00F50E69" w:rsidP="00F50E69">
      <w:pPr>
        <w:pStyle w:val="BodyText"/>
        <w:spacing w:line="240" w:lineRule="auto"/>
        <w:ind w:left="1440" w:right="720"/>
        <w:jc w:val="both"/>
        <w:rPr>
          <w:b w:val="0"/>
        </w:rPr>
      </w:pPr>
      <w:r w:rsidRPr="00F50E69">
        <w:rPr>
          <w:b w:val="0"/>
        </w:rPr>
        <w:t>In the PFD, the SOAH ALJs concluded that the Commission should adopt rates consistent with SPS’s proposed gradualism adjustment.  The SOAH ALJs stated their recommendation struck a balance between competing policies and was consistent with recent Commission decisions in Dockets No. 39896 and 40443.</w:t>
      </w:r>
      <w:r w:rsidRPr="00F50E69">
        <w:rPr>
          <w:rStyle w:val="FootnoteReference"/>
          <w:b w:val="0"/>
        </w:rPr>
        <w:footnoteReference w:id="31"/>
      </w:r>
    </w:p>
    <w:p w:rsidR="00F50E69" w:rsidRPr="00F50E69" w:rsidRDefault="00F50E69" w:rsidP="00F50E69">
      <w:pPr>
        <w:pStyle w:val="BodyText"/>
        <w:spacing w:line="240" w:lineRule="auto"/>
        <w:ind w:right="720"/>
        <w:jc w:val="both"/>
        <w:rPr>
          <w:b w:val="0"/>
        </w:rPr>
      </w:pPr>
    </w:p>
    <w:p w:rsidR="00F50E69" w:rsidRPr="00F50E69" w:rsidRDefault="00F50E69" w:rsidP="00F50E69">
      <w:pPr>
        <w:pStyle w:val="BodyText"/>
        <w:ind w:left="720"/>
        <w:jc w:val="both"/>
        <w:rPr>
          <w:b w:val="0"/>
        </w:rPr>
      </w:pPr>
      <w:r w:rsidRPr="00F50E69">
        <w:rPr>
          <w:b w:val="0"/>
        </w:rPr>
        <w:t>The Commission, however, citing its preference for cost-based rates, declined to adopt a gradualism adjustment in that case and set the revenue requirement for each class based on cost:</w:t>
      </w:r>
    </w:p>
    <w:p w:rsidR="00F50E69" w:rsidRPr="00F50E69" w:rsidRDefault="00F50E69" w:rsidP="00F50E69">
      <w:pPr>
        <w:pStyle w:val="BodyText"/>
        <w:spacing w:line="240" w:lineRule="auto"/>
        <w:ind w:left="1440" w:right="720"/>
        <w:jc w:val="both"/>
        <w:rPr>
          <w:b w:val="0"/>
        </w:rPr>
      </w:pPr>
      <w:r w:rsidRPr="00F50E69">
        <w:rPr>
          <w:b w:val="0"/>
        </w:rPr>
        <w:t>The Commission declines to adopt any gradualism adjustment in this proceeding.  The Commission has often stated that one of its primary responsibilities in setting rates is ensuring those rates are, to the greatest extent reasonable, consistent with cost causation.  Further, as SPS conceded, the wisdom of a gradualism adjustment is affected by the size of the rate change.  While there is no magic threshold at which a change in rates automatically justifies an aberration from basing rates on classes’ costs of service, in Docket 40443, the Commission determined that an increase as large as 29% did not warrant rate mitigation.  Here, SPS’s overall Texas retail revenue requirement will be decreased by less than 1% and class allocations based purely on each classes’ cost of service will result in relatively small rate changes.  All but one class will experience less than a 14% change to its base-revenue responsibilities.  The largest change will be borne by Street Lighting customers, whose revenue responsibility will increase 24.28%.  Thus, moving from classes’ costs of service and mandating inter-class cost subsidization is not warranted in this proceeding.  Consistent with the Commission’s decision to not include any adjustments for gradualism, the Commission deletes proposed findings of fact 335 through 337 and instead adopts new findings of fact 335A through 335C, 336A, and 337A through 337C.</w:t>
      </w:r>
      <w:r w:rsidRPr="00F50E69">
        <w:rPr>
          <w:rStyle w:val="FootnoteReference"/>
          <w:b w:val="0"/>
        </w:rPr>
        <w:footnoteReference w:id="32"/>
      </w:r>
      <w:r w:rsidRPr="00F50E69">
        <w:rPr>
          <w:b w:val="0"/>
        </w:rPr>
        <w:t xml:space="preserve">       </w:t>
      </w:r>
    </w:p>
    <w:p w:rsidR="00F50E69" w:rsidRPr="00F50E69" w:rsidRDefault="00F50E69" w:rsidP="00F50E69">
      <w:pPr>
        <w:ind w:left="720" w:hanging="720"/>
        <w:jc w:val="both"/>
        <w:rPr>
          <w:sz w:val="24"/>
          <w:szCs w:val="24"/>
        </w:rPr>
      </w:pPr>
    </w:p>
    <w:p w:rsidR="00F50E69" w:rsidRPr="00F50E69" w:rsidRDefault="00F50E69" w:rsidP="00F50E69">
      <w:pPr>
        <w:spacing w:line="480" w:lineRule="auto"/>
        <w:ind w:left="720" w:hanging="720"/>
        <w:jc w:val="both"/>
        <w:rPr>
          <w:sz w:val="24"/>
          <w:szCs w:val="24"/>
        </w:rPr>
      </w:pPr>
      <w:r w:rsidRPr="00F50E69">
        <w:rPr>
          <w:b/>
          <w:sz w:val="24"/>
          <w:szCs w:val="24"/>
        </w:rPr>
        <w:tab/>
      </w:r>
      <w:r w:rsidRPr="00F50E69">
        <w:rPr>
          <w:sz w:val="24"/>
          <w:szCs w:val="24"/>
        </w:rPr>
        <w:t>The Commission also explicitly rejected the proposals recommended by other parties as unreasonable:</w:t>
      </w:r>
    </w:p>
    <w:p w:rsidR="00F50E69" w:rsidRPr="00F50E69" w:rsidRDefault="00F50E69" w:rsidP="00F50E69">
      <w:pPr>
        <w:pStyle w:val="FOFCOL"/>
        <w:spacing w:before="0" w:line="240" w:lineRule="auto"/>
        <w:ind w:left="2160" w:right="720"/>
        <w:rPr>
          <w:snapToGrid/>
        </w:rPr>
      </w:pPr>
      <w:r w:rsidRPr="00F50E69">
        <w:rPr>
          <w:snapToGrid/>
        </w:rPr>
        <w:t xml:space="preserve">337B. </w:t>
      </w:r>
      <w:r w:rsidRPr="00F50E69">
        <w:rPr>
          <w:snapToGrid/>
        </w:rPr>
        <w:tab/>
        <w:t>All other gradualism-adjustment proposals, including those</w:t>
      </w:r>
      <w:r w:rsidRPr="00F50E69">
        <w:rPr>
          <w:bCs/>
          <w:snapToGrid/>
        </w:rPr>
        <w:t xml:space="preserve"> of </w:t>
      </w:r>
      <w:r w:rsidRPr="00F50E69">
        <w:rPr>
          <w:snapToGrid/>
        </w:rPr>
        <w:t xml:space="preserve">TIEC, </w:t>
      </w:r>
      <w:r w:rsidRPr="00F50E69">
        <w:rPr>
          <w:bCs/>
          <w:snapToGrid/>
        </w:rPr>
        <w:t>Occidental,</w:t>
      </w:r>
      <w:r w:rsidRPr="00F50E69">
        <w:rPr>
          <w:snapToGrid/>
        </w:rPr>
        <w:t xml:space="preserve"> and AXM, are unreasonable and are not adopted.</w:t>
      </w:r>
      <w:r w:rsidRPr="00F50E69">
        <w:rPr>
          <w:rStyle w:val="FootnoteReference"/>
          <w:snapToGrid/>
        </w:rPr>
        <w:footnoteReference w:id="33"/>
      </w:r>
    </w:p>
    <w:p w:rsidR="00F50E69" w:rsidRPr="00F50E69" w:rsidRDefault="00F50E69" w:rsidP="00F50E69">
      <w:pPr>
        <w:pStyle w:val="FOFCOL"/>
        <w:spacing w:before="0" w:line="240" w:lineRule="auto"/>
        <w:ind w:left="2160" w:right="720"/>
        <w:rPr>
          <w:snapToGrid/>
        </w:rPr>
      </w:pPr>
    </w:p>
    <w:p w:rsidR="00F50E69" w:rsidRDefault="00F50E69" w:rsidP="002A23FA">
      <w:pPr>
        <w:spacing w:line="480" w:lineRule="auto"/>
        <w:ind w:left="720"/>
        <w:jc w:val="both"/>
        <w:rPr>
          <w:rFonts w:eastAsia="Calibri"/>
          <w:sz w:val="24"/>
          <w:szCs w:val="24"/>
        </w:rPr>
      </w:pPr>
      <w:r>
        <w:rPr>
          <w:rFonts w:eastAsia="Calibri"/>
          <w:sz w:val="24"/>
          <w:szCs w:val="24"/>
        </w:rPr>
        <w:t xml:space="preserve">The largest class increase as proposed by CenterPoint in this proceeding is 13.4%, or </w:t>
      </w:r>
      <w:r w:rsidR="003C47B1">
        <w:rPr>
          <w:rFonts w:eastAsia="Calibri"/>
          <w:sz w:val="24"/>
          <w:szCs w:val="24"/>
        </w:rPr>
        <w:t xml:space="preserve">11.8% after the UEDIT rider credit is applied.  This is far below the 24% that failed to warrant rate moderation in </w:t>
      </w:r>
      <w:r w:rsidR="00975F66">
        <w:rPr>
          <w:rFonts w:eastAsia="Calibri"/>
          <w:sz w:val="24"/>
          <w:szCs w:val="24"/>
        </w:rPr>
        <w:t xml:space="preserve">a </w:t>
      </w:r>
      <w:r w:rsidR="003C47B1">
        <w:rPr>
          <w:rFonts w:eastAsia="Calibri"/>
          <w:sz w:val="24"/>
          <w:szCs w:val="24"/>
        </w:rPr>
        <w:t xml:space="preserve">previous Commission decision.  </w:t>
      </w:r>
      <w:r w:rsidRPr="00F50E69">
        <w:rPr>
          <w:rFonts w:eastAsia="Calibri"/>
          <w:sz w:val="24"/>
          <w:szCs w:val="24"/>
        </w:rPr>
        <w:t xml:space="preserve">Mr. </w:t>
      </w:r>
      <w:r w:rsidR="003C47B1">
        <w:rPr>
          <w:rFonts w:eastAsia="Calibri"/>
          <w:sz w:val="24"/>
          <w:szCs w:val="24"/>
        </w:rPr>
        <w:t>Pollock</w:t>
      </w:r>
      <w:r w:rsidRPr="00F50E69">
        <w:rPr>
          <w:rFonts w:eastAsia="Calibri"/>
          <w:sz w:val="24"/>
          <w:szCs w:val="24"/>
        </w:rPr>
        <w:t xml:space="preserve"> has failed to demonstrate that </w:t>
      </w:r>
      <w:r w:rsidR="00975F66">
        <w:rPr>
          <w:rFonts w:eastAsia="Calibri"/>
          <w:sz w:val="24"/>
          <w:szCs w:val="24"/>
        </w:rPr>
        <w:t>CenterPoint’s</w:t>
      </w:r>
      <w:r w:rsidRPr="00F50E69">
        <w:rPr>
          <w:rFonts w:eastAsia="Calibri"/>
          <w:sz w:val="24"/>
          <w:szCs w:val="24"/>
        </w:rPr>
        <w:t xml:space="preserve"> proposed rate increase is so out of proportion or harsh to a particular class that it promotes rate shock.</w:t>
      </w:r>
    </w:p>
    <w:p w:rsidR="00F50E69" w:rsidRPr="00F50E69" w:rsidRDefault="00F50E69" w:rsidP="002A23FA">
      <w:pPr>
        <w:spacing w:line="480" w:lineRule="auto"/>
        <w:ind w:left="720" w:hanging="720"/>
        <w:jc w:val="both"/>
        <w:rPr>
          <w:b/>
          <w:sz w:val="24"/>
          <w:szCs w:val="24"/>
        </w:rPr>
      </w:pPr>
      <w:r w:rsidRPr="00F50E69">
        <w:rPr>
          <w:b/>
          <w:sz w:val="24"/>
          <w:szCs w:val="24"/>
        </w:rPr>
        <w:t>Q.</w:t>
      </w:r>
      <w:r w:rsidRPr="00F50E69">
        <w:rPr>
          <w:b/>
          <w:sz w:val="24"/>
          <w:szCs w:val="24"/>
        </w:rPr>
        <w:tab/>
        <w:t xml:space="preserve">How does Mr. </w:t>
      </w:r>
      <w:r w:rsidR="00192256">
        <w:rPr>
          <w:b/>
          <w:sz w:val="24"/>
          <w:szCs w:val="24"/>
        </w:rPr>
        <w:t>Pollock</w:t>
      </w:r>
      <w:r w:rsidRPr="00F50E69">
        <w:rPr>
          <w:b/>
          <w:sz w:val="24"/>
          <w:szCs w:val="24"/>
        </w:rPr>
        <w:t>’s proposal conflict with recent Commission precedent with regards to how rate impacts are to be evaluated when considering gradualism?</w:t>
      </w:r>
    </w:p>
    <w:p w:rsidR="00F50E69" w:rsidRDefault="00F50E69" w:rsidP="002A23FA">
      <w:pPr>
        <w:spacing w:line="480" w:lineRule="auto"/>
        <w:ind w:left="720" w:hanging="720"/>
        <w:jc w:val="both"/>
        <w:rPr>
          <w:sz w:val="24"/>
          <w:szCs w:val="24"/>
        </w:rPr>
      </w:pPr>
      <w:r w:rsidRPr="00F50E69">
        <w:rPr>
          <w:sz w:val="24"/>
          <w:szCs w:val="24"/>
        </w:rPr>
        <w:t>A.</w:t>
      </w:r>
      <w:r w:rsidRPr="00F50E69">
        <w:rPr>
          <w:sz w:val="24"/>
          <w:szCs w:val="24"/>
        </w:rPr>
        <w:tab/>
      </w:r>
      <w:r w:rsidR="00192256">
        <w:rPr>
          <w:sz w:val="24"/>
          <w:szCs w:val="24"/>
        </w:rPr>
        <w:t xml:space="preserve">As mentioned above, </w:t>
      </w:r>
      <w:r w:rsidRPr="00F50E69">
        <w:rPr>
          <w:sz w:val="24"/>
          <w:szCs w:val="24"/>
        </w:rPr>
        <w:t xml:space="preserve">Mr. </w:t>
      </w:r>
      <w:r w:rsidR="00192256">
        <w:rPr>
          <w:sz w:val="24"/>
          <w:szCs w:val="24"/>
        </w:rPr>
        <w:t>Pollock’s</w:t>
      </w:r>
      <w:r w:rsidRPr="00F50E69">
        <w:rPr>
          <w:sz w:val="24"/>
          <w:szCs w:val="24"/>
        </w:rPr>
        <w:t xml:space="preserve"> gradualism analysis and proposal</w:t>
      </w:r>
      <w:r w:rsidR="002A23FA">
        <w:rPr>
          <w:sz w:val="24"/>
          <w:szCs w:val="24"/>
        </w:rPr>
        <w:t xml:space="preserve"> focuses solely on the change in a single allocation factor from one rate case to the next, and</w:t>
      </w:r>
      <w:r w:rsidRPr="00F50E69">
        <w:rPr>
          <w:sz w:val="24"/>
          <w:szCs w:val="24"/>
        </w:rPr>
        <w:t xml:space="preserve"> ignores </w:t>
      </w:r>
      <w:r w:rsidR="002A23FA">
        <w:rPr>
          <w:sz w:val="24"/>
          <w:szCs w:val="24"/>
        </w:rPr>
        <w:t>the fact that load growth has occurred for industrial customers</w:t>
      </w:r>
      <w:r w:rsidR="00975F66">
        <w:rPr>
          <w:sz w:val="24"/>
          <w:szCs w:val="24"/>
        </w:rPr>
        <w:t>,</w:t>
      </w:r>
      <w:r w:rsidR="002A23FA">
        <w:rPr>
          <w:sz w:val="24"/>
          <w:szCs w:val="24"/>
        </w:rPr>
        <w:t xml:space="preserve"> and that the potential for rate shock must be evaluated on the basis of what customers pay </w:t>
      </w:r>
      <w:r w:rsidR="002A23FA">
        <w:rPr>
          <w:i/>
          <w:sz w:val="24"/>
          <w:szCs w:val="24"/>
        </w:rPr>
        <w:t xml:space="preserve">overall, </w:t>
      </w:r>
      <w:r w:rsidR="002A23FA">
        <w:rPr>
          <w:sz w:val="24"/>
          <w:szCs w:val="24"/>
        </w:rPr>
        <w:t>not based only on a subset of the rates that customers pay</w:t>
      </w:r>
      <w:r w:rsidR="00975F66">
        <w:rPr>
          <w:sz w:val="24"/>
          <w:szCs w:val="24"/>
        </w:rPr>
        <w:t xml:space="preserve"> (or upon a single allocation factor)</w:t>
      </w:r>
      <w:r w:rsidR="002A23FA">
        <w:rPr>
          <w:i/>
          <w:sz w:val="24"/>
          <w:szCs w:val="24"/>
        </w:rPr>
        <w:t>.</w:t>
      </w:r>
      <w:r w:rsidRPr="00F50E69">
        <w:rPr>
          <w:sz w:val="24"/>
          <w:szCs w:val="24"/>
        </w:rPr>
        <w:t xml:space="preserve">  This issue</w:t>
      </w:r>
      <w:r w:rsidR="002A23FA">
        <w:rPr>
          <w:sz w:val="24"/>
          <w:szCs w:val="24"/>
        </w:rPr>
        <w:t xml:space="preserve"> of how to properly evaluate rate impacts</w:t>
      </w:r>
      <w:r w:rsidRPr="00F50E69">
        <w:rPr>
          <w:sz w:val="24"/>
          <w:szCs w:val="24"/>
        </w:rPr>
        <w:t xml:space="preserve"> was recently litigated, with the following outcome:</w:t>
      </w:r>
    </w:p>
    <w:p w:rsidR="00F50E69" w:rsidRDefault="00F50E69" w:rsidP="00975F66">
      <w:pPr>
        <w:ind w:left="1440" w:right="720" w:hanging="720"/>
        <w:jc w:val="both"/>
        <w:rPr>
          <w:sz w:val="24"/>
          <w:szCs w:val="24"/>
        </w:rPr>
      </w:pPr>
      <w:r w:rsidRPr="00F50E69">
        <w:rPr>
          <w:sz w:val="24"/>
          <w:szCs w:val="24"/>
        </w:rPr>
        <w:tab/>
        <w:t>The Commission concludes that any gradualism methodology should evaluate the differences in the actual rates that customers pay.  Consistent with this approach, the gradualism methodology the Commission adopts in this proceeding requires that each class’s present revenue be evaluated inclusive of revenues from both the transmission-cost recovery factor and the distribution-cost recovery factor.</w:t>
      </w:r>
      <w:r w:rsidRPr="00F50E69">
        <w:rPr>
          <w:rStyle w:val="FootnoteReference"/>
          <w:sz w:val="24"/>
          <w:szCs w:val="24"/>
        </w:rPr>
        <w:footnoteReference w:id="34"/>
      </w:r>
    </w:p>
    <w:p w:rsidR="00975F66" w:rsidRPr="00F50E69" w:rsidRDefault="00975F66" w:rsidP="00975F66">
      <w:pPr>
        <w:ind w:left="1440" w:right="720" w:hanging="720"/>
        <w:jc w:val="both"/>
        <w:rPr>
          <w:sz w:val="24"/>
          <w:szCs w:val="24"/>
        </w:rPr>
      </w:pPr>
    </w:p>
    <w:p w:rsidR="00F50E69" w:rsidRPr="00F50E69" w:rsidRDefault="00F50E69" w:rsidP="002A23FA">
      <w:pPr>
        <w:spacing w:line="480" w:lineRule="auto"/>
        <w:ind w:left="720"/>
        <w:jc w:val="both"/>
        <w:rPr>
          <w:sz w:val="24"/>
          <w:szCs w:val="24"/>
        </w:rPr>
      </w:pPr>
      <w:r w:rsidRPr="00F50E69">
        <w:rPr>
          <w:sz w:val="24"/>
          <w:szCs w:val="24"/>
        </w:rPr>
        <w:t>The Commission also found that “any gradualism methodology should evaluate the differences in the actual rates that customers pay.”</w:t>
      </w:r>
      <w:r w:rsidRPr="00F50E69">
        <w:rPr>
          <w:rStyle w:val="FootnoteReference"/>
          <w:sz w:val="24"/>
          <w:szCs w:val="24"/>
        </w:rPr>
        <w:footnoteReference w:id="35"/>
      </w:r>
      <w:r w:rsidRPr="00F50E69">
        <w:rPr>
          <w:sz w:val="24"/>
          <w:szCs w:val="24"/>
        </w:rPr>
        <w:t xml:space="preserve">  Such an approach stands to reason, as determining whether an increase is harsh or promotes rate shock must focus on what customers actually pay for their electric service </w:t>
      </w:r>
      <w:r w:rsidRPr="002A23FA">
        <w:rPr>
          <w:i/>
          <w:sz w:val="24"/>
          <w:szCs w:val="24"/>
        </w:rPr>
        <w:t>in total</w:t>
      </w:r>
      <w:r w:rsidRPr="00F50E69">
        <w:rPr>
          <w:sz w:val="24"/>
          <w:szCs w:val="24"/>
        </w:rPr>
        <w:t>.  A customer is not likely to experience rate shock if one component of their electric bill doubles while another component decreases by an equal or greater amount, resulting in no overall bill increase.</w:t>
      </w:r>
    </w:p>
    <w:p w:rsidR="00F50E69" w:rsidRPr="00F50E69" w:rsidRDefault="00F50E69" w:rsidP="00EE2EA0">
      <w:pPr>
        <w:spacing w:line="480" w:lineRule="auto"/>
        <w:ind w:left="720"/>
        <w:jc w:val="both"/>
        <w:rPr>
          <w:sz w:val="24"/>
          <w:szCs w:val="24"/>
        </w:rPr>
      </w:pPr>
      <w:r w:rsidRPr="00F50E69">
        <w:rPr>
          <w:sz w:val="24"/>
          <w:szCs w:val="24"/>
        </w:rPr>
        <w:tab/>
        <w:t xml:space="preserve">By focusing solely on </w:t>
      </w:r>
      <w:r w:rsidR="002A23FA">
        <w:rPr>
          <w:sz w:val="24"/>
          <w:szCs w:val="24"/>
        </w:rPr>
        <w:t>the portion of delivery base rates affected by the class 4CP allocator</w:t>
      </w:r>
      <w:r w:rsidRPr="00F50E69">
        <w:rPr>
          <w:sz w:val="24"/>
          <w:szCs w:val="24"/>
        </w:rPr>
        <w:t xml:space="preserve">, Mr. </w:t>
      </w:r>
      <w:r w:rsidR="002A23FA">
        <w:rPr>
          <w:sz w:val="24"/>
          <w:szCs w:val="24"/>
        </w:rPr>
        <w:t>Pollock</w:t>
      </w:r>
      <w:r w:rsidRPr="00F50E69">
        <w:rPr>
          <w:sz w:val="24"/>
          <w:szCs w:val="24"/>
        </w:rPr>
        <w:t xml:space="preserve">’s gradualism analysis and </w:t>
      </w:r>
      <w:r w:rsidR="002A23FA">
        <w:rPr>
          <w:sz w:val="24"/>
          <w:szCs w:val="24"/>
        </w:rPr>
        <w:t xml:space="preserve">moderation </w:t>
      </w:r>
      <w:r w:rsidRPr="00F50E69">
        <w:rPr>
          <w:sz w:val="24"/>
          <w:szCs w:val="24"/>
        </w:rPr>
        <w:t xml:space="preserve">recommendation ignores the </w:t>
      </w:r>
      <w:r w:rsidR="002A23FA">
        <w:rPr>
          <w:sz w:val="24"/>
          <w:szCs w:val="24"/>
        </w:rPr>
        <w:t>actual revenues currently being paid by industrial customers for their electric bills</w:t>
      </w:r>
      <w:r w:rsidRPr="00F50E69">
        <w:rPr>
          <w:sz w:val="24"/>
          <w:szCs w:val="24"/>
        </w:rPr>
        <w:t xml:space="preserve">.  His approach is at odds with the proper way to evaluate rate impacts for purposes of gradualism.  When considered in light of the actual </w:t>
      </w:r>
      <w:r w:rsidR="002A23FA">
        <w:rPr>
          <w:sz w:val="24"/>
          <w:szCs w:val="24"/>
        </w:rPr>
        <w:t>electric bills</w:t>
      </w:r>
      <w:r w:rsidRPr="00F50E69">
        <w:rPr>
          <w:sz w:val="24"/>
          <w:szCs w:val="24"/>
        </w:rPr>
        <w:t xml:space="preserve"> that customers pay, rate shock is not a concern</w:t>
      </w:r>
      <w:r w:rsidR="000B5DE1">
        <w:rPr>
          <w:sz w:val="24"/>
          <w:szCs w:val="24"/>
        </w:rPr>
        <w:t>, even</w:t>
      </w:r>
      <w:r w:rsidRPr="00F50E69">
        <w:rPr>
          <w:sz w:val="24"/>
          <w:szCs w:val="24"/>
        </w:rPr>
        <w:t xml:space="preserve"> under </w:t>
      </w:r>
      <w:r w:rsidR="002A23FA">
        <w:rPr>
          <w:sz w:val="24"/>
          <w:szCs w:val="24"/>
        </w:rPr>
        <w:t>CenterPoint</w:t>
      </w:r>
      <w:r w:rsidRPr="00F50E69">
        <w:rPr>
          <w:sz w:val="24"/>
          <w:szCs w:val="24"/>
        </w:rPr>
        <w:t>’s proposed rate increase</w:t>
      </w:r>
      <w:r w:rsidR="000B5DE1">
        <w:rPr>
          <w:sz w:val="24"/>
          <w:szCs w:val="24"/>
        </w:rPr>
        <w:t xml:space="preserve"> with no adjustments</w:t>
      </w:r>
      <w:r w:rsidRPr="00F50E69">
        <w:rPr>
          <w:sz w:val="24"/>
          <w:szCs w:val="24"/>
        </w:rPr>
        <w:t xml:space="preserve">.  </w:t>
      </w:r>
      <w:r w:rsidR="002A23FA">
        <w:rPr>
          <w:sz w:val="24"/>
          <w:szCs w:val="24"/>
        </w:rPr>
        <w:t>Furthermore, i</w:t>
      </w:r>
      <w:r w:rsidRPr="00F50E69">
        <w:rPr>
          <w:sz w:val="24"/>
          <w:szCs w:val="24"/>
        </w:rPr>
        <w:t xml:space="preserve">n the event that the Commission approves a rate increase less than that proposed by </w:t>
      </w:r>
      <w:r w:rsidR="002A23FA">
        <w:rPr>
          <w:sz w:val="24"/>
          <w:szCs w:val="24"/>
        </w:rPr>
        <w:t>CenterPoint</w:t>
      </w:r>
      <w:r w:rsidRPr="00F50E69">
        <w:rPr>
          <w:sz w:val="24"/>
          <w:szCs w:val="24"/>
        </w:rPr>
        <w:t xml:space="preserve">, it is </w:t>
      </w:r>
      <w:r w:rsidR="000B5DE1">
        <w:rPr>
          <w:sz w:val="24"/>
          <w:szCs w:val="24"/>
        </w:rPr>
        <w:t>clearly</w:t>
      </w:r>
      <w:r w:rsidRPr="00F50E69">
        <w:rPr>
          <w:sz w:val="24"/>
          <w:szCs w:val="24"/>
        </w:rPr>
        <w:t xml:space="preserve"> unnecessary to depart from the </w:t>
      </w:r>
      <w:r w:rsidR="002A23FA">
        <w:rPr>
          <w:sz w:val="24"/>
          <w:szCs w:val="24"/>
        </w:rPr>
        <w:t xml:space="preserve">requirement under the rules, and the </w:t>
      </w:r>
      <w:r w:rsidRPr="00F50E69">
        <w:rPr>
          <w:sz w:val="24"/>
          <w:szCs w:val="24"/>
        </w:rPr>
        <w:t xml:space="preserve">Commission’s </w:t>
      </w:r>
      <w:r w:rsidR="002A23FA">
        <w:rPr>
          <w:sz w:val="24"/>
          <w:szCs w:val="24"/>
        </w:rPr>
        <w:t xml:space="preserve">clear </w:t>
      </w:r>
      <w:r w:rsidRPr="00F50E69">
        <w:rPr>
          <w:sz w:val="24"/>
          <w:szCs w:val="24"/>
        </w:rPr>
        <w:t>preference</w:t>
      </w:r>
      <w:r w:rsidR="002A23FA">
        <w:rPr>
          <w:sz w:val="24"/>
          <w:szCs w:val="24"/>
        </w:rPr>
        <w:t>,</w:t>
      </w:r>
      <w:r w:rsidRPr="00F50E69">
        <w:rPr>
          <w:sz w:val="24"/>
          <w:szCs w:val="24"/>
        </w:rPr>
        <w:t xml:space="preserve"> </w:t>
      </w:r>
      <w:r w:rsidR="002A23FA">
        <w:rPr>
          <w:sz w:val="24"/>
          <w:szCs w:val="24"/>
        </w:rPr>
        <w:t>that rates be set at cost</w:t>
      </w:r>
      <w:r w:rsidRPr="00F50E69">
        <w:rPr>
          <w:sz w:val="24"/>
          <w:szCs w:val="24"/>
        </w:rPr>
        <w:t>.</w:t>
      </w:r>
    </w:p>
    <w:p w:rsidR="00F50E69" w:rsidRPr="00F50E69" w:rsidRDefault="002A23FA" w:rsidP="00EE2EA0">
      <w:pPr>
        <w:spacing w:line="480" w:lineRule="auto"/>
        <w:ind w:left="720" w:hanging="720"/>
        <w:jc w:val="both"/>
        <w:rPr>
          <w:b/>
          <w:sz w:val="24"/>
          <w:szCs w:val="24"/>
        </w:rPr>
      </w:pPr>
      <w:r>
        <w:rPr>
          <w:b/>
          <w:sz w:val="24"/>
          <w:szCs w:val="24"/>
        </w:rPr>
        <w:t>Q.</w:t>
      </w:r>
      <w:r>
        <w:rPr>
          <w:b/>
          <w:sz w:val="24"/>
          <w:szCs w:val="24"/>
        </w:rPr>
        <w:tab/>
        <w:t>Would adoption of Mr. Pollock</w:t>
      </w:r>
      <w:r w:rsidR="00F50E69" w:rsidRPr="00F50E69">
        <w:rPr>
          <w:b/>
          <w:sz w:val="24"/>
          <w:szCs w:val="24"/>
        </w:rPr>
        <w:t>’s recommendation promote rate stability?</w:t>
      </w:r>
    </w:p>
    <w:p w:rsidR="00F50E69" w:rsidRDefault="00F50E69" w:rsidP="00EE2EA0">
      <w:pPr>
        <w:spacing w:line="480" w:lineRule="auto"/>
        <w:ind w:left="720" w:hanging="720"/>
        <w:jc w:val="both"/>
        <w:rPr>
          <w:sz w:val="24"/>
          <w:szCs w:val="24"/>
        </w:rPr>
      </w:pPr>
      <w:r w:rsidRPr="00F50E69">
        <w:rPr>
          <w:sz w:val="24"/>
          <w:szCs w:val="24"/>
        </w:rPr>
        <w:t>A.</w:t>
      </w:r>
      <w:r w:rsidRPr="00F50E69">
        <w:rPr>
          <w:sz w:val="24"/>
          <w:szCs w:val="24"/>
        </w:rPr>
        <w:tab/>
        <w:t xml:space="preserve">No, not in the long run.  Setting rates at cost is fundamental to facilitating a utility’s ability to recover revenues under the fair-return standard.  The demand and energy usage of various rate classes within a utility system grows or shrinks at different rates.  As customer usage changes, so do the costs that customers impose on the utility system.  When all rates are set to reflect cost, the revenues that a utility recovers via these rates more closely matches the costs incurred as customer usage changes.  Maintaining subsidized rates for some customers, as Mr. </w:t>
      </w:r>
      <w:r w:rsidR="002A23FA">
        <w:rPr>
          <w:sz w:val="24"/>
          <w:szCs w:val="24"/>
        </w:rPr>
        <w:t>Pollock</w:t>
      </w:r>
      <w:r w:rsidRPr="00F50E69">
        <w:rPr>
          <w:sz w:val="24"/>
          <w:szCs w:val="24"/>
        </w:rPr>
        <w:t xml:space="preserve"> proposes, means that the revenues recovered via the below-cost rates (i.e.</w:t>
      </w:r>
      <w:r w:rsidR="000A5EE5">
        <w:rPr>
          <w:sz w:val="24"/>
          <w:szCs w:val="24"/>
        </w:rPr>
        <w:t>,</w:t>
      </w:r>
      <w:r w:rsidRPr="00F50E69">
        <w:rPr>
          <w:sz w:val="24"/>
          <w:szCs w:val="24"/>
        </w:rPr>
        <w:t xml:space="preserve"> the rates </w:t>
      </w:r>
      <w:r w:rsidR="00EE2EA0">
        <w:rPr>
          <w:sz w:val="24"/>
          <w:szCs w:val="24"/>
        </w:rPr>
        <w:t>“moderated”</w:t>
      </w:r>
      <w:r w:rsidRPr="00F50E69">
        <w:rPr>
          <w:sz w:val="24"/>
          <w:szCs w:val="24"/>
        </w:rPr>
        <w:t xml:space="preserve"> for gradualism purposes) will be insufficient to recover the costs to serve that group of customers.  Furthermore, setting subsidized rates for some customers requires that the rates for other customers be set above cost.  Because customers tend to respond to lower rates with higher usage, and to higher rates with lower usage, the cross-subsidies present under non-cost-based rates have the perverse result of encouraging usage of the utility system by those customers whose rates are below-cost while discouraging usage of the utility system by those customers whose rates are above-cost.  This can lead to a growing gap between revenue recovery and costs.  Over time, a rate structure based on such non-cost-based rates will likely fail to yield revenues at a level adequate to allow a utility to recover its reasonable costs and earn a fair return.  A utility with rates significantly far from cost would be expected to need to file for rate increases relatively frequently due to the failure of non-cost-based rates to yield the required revenues over time.  This has the effect of undermining rate stability by necessitating frequent rate changes and higher rate case expenses.  Mr. </w:t>
      </w:r>
      <w:r w:rsidR="00EE2EA0">
        <w:rPr>
          <w:sz w:val="24"/>
          <w:szCs w:val="24"/>
        </w:rPr>
        <w:t>Pollock’s</w:t>
      </w:r>
      <w:r w:rsidRPr="00F50E69">
        <w:rPr>
          <w:sz w:val="24"/>
          <w:szCs w:val="24"/>
        </w:rPr>
        <w:t xml:space="preserve"> recommendation to employ gradualism for his client’s benefit is contrary to establishing a sound</w:t>
      </w:r>
      <w:r w:rsidR="00126E63">
        <w:rPr>
          <w:sz w:val="24"/>
          <w:szCs w:val="24"/>
        </w:rPr>
        <w:t xml:space="preserve"> and stable rate structure.</w:t>
      </w:r>
    </w:p>
    <w:p w:rsidR="00126E63" w:rsidRDefault="00126E63" w:rsidP="00EE2EA0">
      <w:pPr>
        <w:spacing w:line="480" w:lineRule="auto"/>
        <w:ind w:left="720" w:hanging="720"/>
        <w:jc w:val="both"/>
        <w:rPr>
          <w:b/>
          <w:sz w:val="24"/>
          <w:szCs w:val="24"/>
        </w:rPr>
      </w:pPr>
      <w:r>
        <w:rPr>
          <w:b/>
          <w:sz w:val="24"/>
          <w:szCs w:val="24"/>
        </w:rPr>
        <w:t>Q.</w:t>
      </w:r>
      <w:r>
        <w:rPr>
          <w:b/>
          <w:sz w:val="24"/>
          <w:szCs w:val="24"/>
        </w:rPr>
        <w:tab/>
        <w:t>Is there any merit to Mr. Pollock’s concerns regarding how the 4CP class allocation factors are reset in a rate case?</w:t>
      </w:r>
    </w:p>
    <w:p w:rsidR="00126E63" w:rsidRDefault="00126E63" w:rsidP="00EE2EA0">
      <w:pPr>
        <w:spacing w:line="480" w:lineRule="auto"/>
        <w:ind w:left="720" w:hanging="720"/>
        <w:jc w:val="both"/>
        <w:rPr>
          <w:sz w:val="24"/>
          <w:szCs w:val="24"/>
        </w:rPr>
      </w:pPr>
      <w:r>
        <w:rPr>
          <w:sz w:val="24"/>
          <w:szCs w:val="24"/>
        </w:rPr>
        <w:t>A.</w:t>
      </w:r>
      <w:r>
        <w:rPr>
          <w:sz w:val="24"/>
          <w:szCs w:val="24"/>
        </w:rPr>
        <w:tab/>
        <w:t xml:space="preserve">While the facts in this case do not warrant adopting Mr. Pollock’s proposal to moderate the update to the 4CP class allocation factor, </w:t>
      </w:r>
      <w:r w:rsidR="00DB31A7">
        <w:rPr>
          <w:sz w:val="24"/>
          <w:szCs w:val="24"/>
        </w:rPr>
        <w:t xml:space="preserve">Mr. Pollock raises a legitimate concern </w:t>
      </w:r>
      <w:r w:rsidR="00EC6F92">
        <w:rPr>
          <w:sz w:val="24"/>
          <w:szCs w:val="24"/>
        </w:rPr>
        <w:t>regarding the current language of the TCRF rule for ERCOT distribution service providers (“DSP”)</w:t>
      </w:r>
      <w:r w:rsidR="00EC6F92" w:rsidRPr="003B6968">
        <w:rPr>
          <w:sz w:val="24"/>
          <w:szCs w:val="24"/>
        </w:rPr>
        <w:t>, 16 TAC § </w:t>
      </w:r>
      <w:r w:rsidR="00EC6F92">
        <w:rPr>
          <w:sz w:val="24"/>
          <w:szCs w:val="24"/>
        </w:rPr>
        <w:t>25.193; namely, that</w:t>
      </w:r>
      <w:r w:rsidR="00DB31A7">
        <w:rPr>
          <w:sz w:val="24"/>
          <w:szCs w:val="24"/>
        </w:rPr>
        <w:t xml:space="preserve"> the </w:t>
      </w:r>
      <w:r w:rsidR="00EC6F92">
        <w:rPr>
          <w:sz w:val="24"/>
          <w:szCs w:val="24"/>
        </w:rPr>
        <w:t xml:space="preserve">TCRF </w:t>
      </w:r>
      <w:r w:rsidR="00DB31A7">
        <w:rPr>
          <w:sz w:val="24"/>
          <w:szCs w:val="24"/>
        </w:rPr>
        <w:t>billing determinants are updated on a semi-annual basis while the allocation factor</w:t>
      </w:r>
      <w:r w:rsidR="000A5EE5">
        <w:rPr>
          <w:sz w:val="24"/>
          <w:szCs w:val="24"/>
        </w:rPr>
        <w:t xml:space="preserve"> values</w:t>
      </w:r>
      <w:r w:rsidR="00DB31A7">
        <w:rPr>
          <w:sz w:val="24"/>
          <w:szCs w:val="24"/>
        </w:rPr>
        <w:t xml:space="preserve"> </w:t>
      </w:r>
      <w:r w:rsidR="000A5EE5">
        <w:rPr>
          <w:sz w:val="24"/>
          <w:szCs w:val="24"/>
        </w:rPr>
        <w:t>are</w:t>
      </w:r>
      <w:r w:rsidR="00DB31A7">
        <w:rPr>
          <w:sz w:val="24"/>
          <w:szCs w:val="24"/>
        </w:rPr>
        <w:t xml:space="preserve"> </w:t>
      </w:r>
      <w:r w:rsidR="000B5DE1">
        <w:rPr>
          <w:sz w:val="24"/>
          <w:szCs w:val="24"/>
        </w:rPr>
        <w:t xml:space="preserve">typically </w:t>
      </w:r>
      <w:r w:rsidR="00DB31A7">
        <w:rPr>
          <w:sz w:val="24"/>
          <w:szCs w:val="24"/>
        </w:rPr>
        <w:t>only reset in base rate proceedings</w:t>
      </w:r>
      <w:r w:rsidR="00EC6F92">
        <w:rPr>
          <w:sz w:val="24"/>
          <w:szCs w:val="24"/>
        </w:rPr>
        <w:t>.  I</w:t>
      </w:r>
      <w:r w:rsidR="00F15569">
        <w:rPr>
          <w:sz w:val="24"/>
          <w:szCs w:val="24"/>
        </w:rPr>
        <w:t>n</w:t>
      </w:r>
      <w:r w:rsidR="00EC6F92">
        <w:rPr>
          <w:sz w:val="24"/>
          <w:szCs w:val="24"/>
        </w:rPr>
        <w:t xml:space="preserve"> </w:t>
      </w:r>
      <w:r w:rsidR="00F15569">
        <w:rPr>
          <w:sz w:val="24"/>
          <w:szCs w:val="24"/>
        </w:rPr>
        <w:t>general, I</w:t>
      </w:r>
      <w:r w:rsidR="00EC6F92">
        <w:rPr>
          <w:sz w:val="24"/>
          <w:szCs w:val="24"/>
        </w:rPr>
        <w:t xml:space="preserve"> agree with Mr. Pollock’s analysis that this situation </w:t>
      </w:r>
      <w:r w:rsidR="000B5DE1">
        <w:rPr>
          <w:sz w:val="24"/>
          <w:szCs w:val="24"/>
        </w:rPr>
        <w:t>can produce</w:t>
      </w:r>
      <w:r w:rsidR="00EC6F92">
        <w:rPr>
          <w:sz w:val="24"/>
          <w:szCs w:val="24"/>
        </w:rPr>
        <w:t xml:space="preserve"> a mismatch between the costs allocated to a rate class and the billing determinants used to calculate the rate for that class.</w:t>
      </w:r>
      <w:r w:rsidR="00EC6F92">
        <w:rPr>
          <w:rStyle w:val="FootnoteReference"/>
          <w:sz w:val="24"/>
          <w:szCs w:val="24"/>
        </w:rPr>
        <w:footnoteReference w:id="36"/>
      </w:r>
      <w:r w:rsidR="00EC6F92">
        <w:rPr>
          <w:sz w:val="24"/>
          <w:szCs w:val="24"/>
        </w:rPr>
        <w:t xml:space="preserve">  This mismatch </w:t>
      </w:r>
      <w:r w:rsidR="00EC6F92">
        <w:rPr>
          <w:i/>
          <w:sz w:val="24"/>
          <w:szCs w:val="24"/>
        </w:rPr>
        <w:t>could</w:t>
      </w:r>
      <w:r w:rsidR="00EC6F92">
        <w:rPr>
          <w:sz w:val="24"/>
          <w:szCs w:val="24"/>
        </w:rPr>
        <w:t xml:space="preserve"> increase the magnitude of rate changes seen in a rate proceeding, even where it does not rise to the level of rate shock</w:t>
      </w:r>
      <w:r w:rsidR="008559EC">
        <w:rPr>
          <w:sz w:val="24"/>
          <w:szCs w:val="24"/>
        </w:rPr>
        <w:t xml:space="preserve"> that requires moderation.</w:t>
      </w:r>
    </w:p>
    <w:p w:rsidR="008559EC" w:rsidRDefault="008559EC" w:rsidP="00EE2EA0">
      <w:pPr>
        <w:spacing w:line="480" w:lineRule="auto"/>
        <w:ind w:left="720" w:hanging="720"/>
        <w:jc w:val="both"/>
        <w:rPr>
          <w:b/>
          <w:sz w:val="24"/>
          <w:szCs w:val="24"/>
        </w:rPr>
      </w:pPr>
      <w:r>
        <w:rPr>
          <w:b/>
          <w:sz w:val="24"/>
          <w:szCs w:val="24"/>
        </w:rPr>
        <w:t>Q.</w:t>
      </w:r>
      <w:r>
        <w:rPr>
          <w:b/>
          <w:sz w:val="24"/>
          <w:szCs w:val="24"/>
        </w:rPr>
        <w:tab/>
        <w:t>How should the Commission address Mr. Pollock’s concerns with regard to the TCRF rule?</w:t>
      </w:r>
    </w:p>
    <w:p w:rsidR="008559EC" w:rsidRPr="008559EC" w:rsidRDefault="008559EC" w:rsidP="008559EC">
      <w:pPr>
        <w:spacing w:line="480" w:lineRule="auto"/>
        <w:ind w:left="720" w:hanging="720"/>
        <w:jc w:val="both"/>
        <w:rPr>
          <w:sz w:val="24"/>
          <w:szCs w:val="24"/>
        </w:rPr>
      </w:pPr>
      <w:r>
        <w:rPr>
          <w:sz w:val="24"/>
          <w:szCs w:val="24"/>
        </w:rPr>
        <w:t>A.</w:t>
      </w:r>
      <w:r>
        <w:rPr>
          <w:sz w:val="24"/>
          <w:szCs w:val="24"/>
        </w:rPr>
        <w:tab/>
        <w:t>If the Commission wishes to address Mr. Pollock’s concerns with regard to the TCRF rule, I would agree with Mr. Pollock that it is reasonable to require CenterPoint to submit compliance applications to update the 4CP class allocation factors used in TCRFs on an annual or biennial basis</w:t>
      </w:r>
      <w:r w:rsidR="00B85CE5">
        <w:rPr>
          <w:sz w:val="24"/>
          <w:szCs w:val="24"/>
        </w:rPr>
        <w:t>.</w:t>
      </w:r>
      <w:r w:rsidR="000A5EE5">
        <w:rPr>
          <w:rStyle w:val="FootnoteReference"/>
          <w:sz w:val="24"/>
          <w:szCs w:val="24"/>
        </w:rPr>
        <w:footnoteReference w:id="37"/>
      </w:r>
      <w:r w:rsidR="000B5DE1" w:rsidRPr="000B5DE1">
        <w:rPr>
          <w:sz w:val="24"/>
          <w:szCs w:val="24"/>
          <w:vertAlign w:val="superscript"/>
        </w:rPr>
        <w:t>,</w:t>
      </w:r>
      <w:r w:rsidR="000B5DE1" w:rsidRPr="000B5DE1">
        <w:rPr>
          <w:rStyle w:val="FootnoteReference"/>
          <w:sz w:val="24"/>
          <w:szCs w:val="24"/>
        </w:rPr>
        <w:t xml:space="preserve"> </w:t>
      </w:r>
      <w:r w:rsidR="000B5DE1">
        <w:rPr>
          <w:rStyle w:val="FootnoteReference"/>
          <w:sz w:val="24"/>
          <w:szCs w:val="24"/>
        </w:rPr>
        <w:footnoteReference w:id="38"/>
      </w:r>
      <w:r w:rsidR="000B5DE1">
        <w:rPr>
          <w:sz w:val="24"/>
          <w:szCs w:val="24"/>
        </w:rPr>
        <w:t xml:space="preserve"> </w:t>
      </w:r>
      <w:r>
        <w:rPr>
          <w:sz w:val="24"/>
          <w:szCs w:val="24"/>
        </w:rPr>
        <w:t xml:space="preserve"> </w:t>
      </w:r>
      <w:r w:rsidR="00B85CE5">
        <w:rPr>
          <w:sz w:val="24"/>
          <w:szCs w:val="24"/>
        </w:rPr>
        <w:t xml:space="preserve"> With CenterPoint’s deployment of advanced metering, the data are now readily available that would allow for a relatively straightforward update to the allocation factors outside of base rate proceedings.  I</w:t>
      </w:r>
      <w:r>
        <w:rPr>
          <w:sz w:val="24"/>
          <w:szCs w:val="24"/>
        </w:rPr>
        <w:t xml:space="preserve">t would </w:t>
      </w:r>
      <w:r w:rsidR="00B85CE5">
        <w:rPr>
          <w:sz w:val="24"/>
          <w:szCs w:val="24"/>
        </w:rPr>
        <w:t xml:space="preserve">also </w:t>
      </w:r>
      <w:r>
        <w:rPr>
          <w:sz w:val="24"/>
          <w:szCs w:val="24"/>
        </w:rPr>
        <w:t>be reasonable for the Commission to consider revising the TCRF rule in a rulemaking proceeding</w:t>
      </w:r>
      <w:r w:rsidR="00B85CE5">
        <w:rPr>
          <w:sz w:val="24"/>
          <w:szCs w:val="24"/>
        </w:rPr>
        <w:t xml:space="preserve"> to address Mr. Pollock’s concerns</w:t>
      </w:r>
      <w:r>
        <w:rPr>
          <w:sz w:val="24"/>
          <w:szCs w:val="24"/>
        </w:rPr>
        <w:t>.</w:t>
      </w:r>
      <w:r w:rsidR="000B5DE1">
        <w:rPr>
          <w:sz w:val="24"/>
          <w:szCs w:val="24"/>
        </w:rPr>
        <w:t xml:space="preserve"> </w:t>
      </w:r>
      <w:r w:rsidR="008353FA">
        <w:rPr>
          <w:sz w:val="24"/>
          <w:szCs w:val="24"/>
        </w:rPr>
        <w:t xml:space="preserve"> Rate moderation, however, should not be applied in this proceeding.</w:t>
      </w:r>
    </w:p>
    <w:p w:rsidR="00F50E69" w:rsidRPr="00F50E69" w:rsidRDefault="00F50E69" w:rsidP="00EE2EA0">
      <w:pPr>
        <w:spacing w:line="480" w:lineRule="auto"/>
        <w:jc w:val="both"/>
        <w:rPr>
          <w:b/>
          <w:sz w:val="24"/>
          <w:szCs w:val="24"/>
        </w:rPr>
      </w:pPr>
      <w:r w:rsidRPr="00F50E69">
        <w:rPr>
          <w:b/>
          <w:sz w:val="24"/>
          <w:szCs w:val="24"/>
        </w:rPr>
        <w:t xml:space="preserve">Q. </w:t>
      </w:r>
      <w:r w:rsidRPr="00F50E69">
        <w:rPr>
          <w:b/>
          <w:sz w:val="24"/>
          <w:szCs w:val="24"/>
        </w:rPr>
        <w:tab/>
        <w:t xml:space="preserve">Please summarize your response to </w:t>
      </w:r>
      <w:r w:rsidR="00EE2EA0">
        <w:rPr>
          <w:b/>
          <w:sz w:val="24"/>
          <w:szCs w:val="24"/>
        </w:rPr>
        <w:t>TIEC</w:t>
      </w:r>
      <w:r w:rsidRPr="00F50E69">
        <w:rPr>
          <w:b/>
          <w:sz w:val="24"/>
          <w:szCs w:val="24"/>
        </w:rPr>
        <w:t xml:space="preserve"> witness</w:t>
      </w:r>
      <w:r w:rsidR="00EE2EA0">
        <w:rPr>
          <w:b/>
          <w:sz w:val="24"/>
          <w:szCs w:val="24"/>
        </w:rPr>
        <w:t xml:space="preserve"> Pollock</w:t>
      </w:r>
      <w:r w:rsidRPr="00F50E69">
        <w:rPr>
          <w:b/>
          <w:sz w:val="24"/>
          <w:szCs w:val="24"/>
        </w:rPr>
        <w:t xml:space="preserve">’s </w:t>
      </w:r>
      <w:r w:rsidR="00AE11B1">
        <w:rPr>
          <w:b/>
          <w:sz w:val="24"/>
          <w:szCs w:val="24"/>
        </w:rPr>
        <w:t>“moderation”</w:t>
      </w:r>
      <w:r w:rsidRPr="00F50E69">
        <w:rPr>
          <w:b/>
          <w:sz w:val="24"/>
          <w:szCs w:val="24"/>
        </w:rPr>
        <w:t xml:space="preserve"> proposal.</w:t>
      </w:r>
    </w:p>
    <w:p w:rsidR="00F50E69" w:rsidRPr="00F50E69" w:rsidRDefault="00F50E69" w:rsidP="00EE2EA0">
      <w:pPr>
        <w:spacing w:line="480" w:lineRule="auto"/>
        <w:ind w:left="720" w:hanging="720"/>
        <w:jc w:val="both"/>
        <w:rPr>
          <w:sz w:val="24"/>
          <w:szCs w:val="24"/>
        </w:rPr>
      </w:pPr>
      <w:r w:rsidRPr="00F50E69">
        <w:rPr>
          <w:sz w:val="24"/>
          <w:szCs w:val="24"/>
        </w:rPr>
        <w:t>A.</w:t>
      </w:r>
      <w:r w:rsidRPr="00F50E69">
        <w:rPr>
          <w:sz w:val="24"/>
          <w:szCs w:val="24"/>
        </w:rPr>
        <w:tab/>
      </w:r>
      <w:r w:rsidR="00EE2EA0">
        <w:rPr>
          <w:sz w:val="24"/>
          <w:szCs w:val="24"/>
        </w:rPr>
        <w:t>TIEC</w:t>
      </w:r>
      <w:r w:rsidRPr="00F50E69">
        <w:rPr>
          <w:sz w:val="24"/>
          <w:szCs w:val="24"/>
        </w:rPr>
        <w:t xml:space="preserve"> has not shown that moving to cost would be unduly harsh and promote rate shock.  In SPS’s last litigated base rate proceeding, the Commission rejected gradualism arguments and moved class revenues to cost, including an increase to Street Lighting customers of over 24%.  Under </w:t>
      </w:r>
      <w:r w:rsidR="00EE2EA0">
        <w:rPr>
          <w:sz w:val="24"/>
          <w:szCs w:val="24"/>
        </w:rPr>
        <w:t>CenterPoint’s</w:t>
      </w:r>
      <w:r w:rsidRPr="00F50E69">
        <w:rPr>
          <w:sz w:val="24"/>
          <w:szCs w:val="24"/>
        </w:rPr>
        <w:t xml:space="preserve"> propos</w:t>
      </w:r>
      <w:r w:rsidR="00EE2EA0">
        <w:rPr>
          <w:sz w:val="24"/>
          <w:szCs w:val="24"/>
        </w:rPr>
        <w:t>al in this</w:t>
      </w:r>
      <w:r w:rsidRPr="00F50E69">
        <w:rPr>
          <w:sz w:val="24"/>
          <w:szCs w:val="24"/>
        </w:rPr>
        <w:t xml:space="preserve"> case, the highest </w:t>
      </w:r>
      <w:r w:rsidR="00EE2EA0">
        <w:rPr>
          <w:sz w:val="24"/>
          <w:szCs w:val="24"/>
        </w:rPr>
        <w:t xml:space="preserve">immediate overall </w:t>
      </w:r>
      <w:r w:rsidRPr="00F50E69">
        <w:rPr>
          <w:sz w:val="24"/>
          <w:szCs w:val="24"/>
        </w:rPr>
        <w:t xml:space="preserve">class increase would be </w:t>
      </w:r>
      <w:r w:rsidR="00EE2EA0">
        <w:rPr>
          <w:sz w:val="24"/>
          <w:szCs w:val="24"/>
        </w:rPr>
        <w:t>11.8</w:t>
      </w:r>
      <w:r w:rsidRPr="00F50E69">
        <w:rPr>
          <w:sz w:val="24"/>
          <w:szCs w:val="24"/>
        </w:rPr>
        <w:t>%.</w:t>
      </w:r>
      <w:r w:rsidRPr="00F50E69">
        <w:rPr>
          <w:rStyle w:val="FootnoteReference"/>
          <w:sz w:val="24"/>
          <w:szCs w:val="24"/>
        </w:rPr>
        <w:footnoteReference w:id="39"/>
      </w:r>
      <w:r w:rsidRPr="00F50E69">
        <w:rPr>
          <w:sz w:val="24"/>
          <w:szCs w:val="24"/>
        </w:rPr>
        <w:t xml:space="preserve">  Considering</w:t>
      </w:r>
      <w:r w:rsidR="00EE2EA0">
        <w:rPr>
          <w:sz w:val="24"/>
          <w:szCs w:val="24"/>
        </w:rPr>
        <w:t xml:space="preserve"> non-delivery charges, the increase in total electric bills is likely to be less than half this amount, or below 6%, if the Company’s application is granted with no reductions</w:t>
      </w:r>
      <w:r w:rsidR="00763A7E">
        <w:rPr>
          <w:sz w:val="24"/>
          <w:szCs w:val="24"/>
        </w:rPr>
        <w:t xml:space="preserve"> to its request</w:t>
      </w:r>
      <w:r w:rsidRPr="00F50E69">
        <w:rPr>
          <w:sz w:val="24"/>
          <w:szCs w:val="24"/>
        </w:rPr>
        <w:t xml:space="preserve">.  In the event that </w:t>
      </w:r>
      <w:r w:rsidR="00EE2EA0">
        <w:rPr>
          <w:sz w:val="24"/>
          <w:szCs w:val="24"/>
        </w:rPr>
        <w:t>CenterPoint’s</w:t>
      </w:r>
      <w:r w:rsidRPr="00F50E69">
        <w:rPr>
          <w:sz w:val="24"/>
          <w:szCs w:val="24"/>
        </w:rPr>
        <w:t xml:space="preserve"> requested increase is not granted in full, then it is likely that the highest class rate increase would be even lower</w:t>
      </w:r>
      <w:r w:rsidR="00975F66">
        <w:rPr>
          <w:sz w:val="24"/>
          <w:szCs w:val="24"/>
        </w:rPr>
        <w:t xml:space="preserve"> than these amounts</w:t>
      </w:r>
      <w:r w:rsidRPr="00F50E69">
        <w:rPr>
          <w:sz w:val="24"/>
          <w:szCs w:val="24"/>
        </w:rPr>
        <w:t>.  Excessive or unreasonable rate shock is not a concern in this proceeding, and class revenue requirements should be set at cost.</w:t>
      </w:r>
      <w:r w:rsidR="008353FA">
        <w:rPr>
          <w:sz w:val="24"/>
          <w:szCs w:val="24"/>
        </w:rPr>
        <w:t xml:space="preserve">  If the Commission wishes to address the concerns raised by Mr. Pollock, it would be reasonable to consider a rulemaking proceeding or a requirement that CenterPoint submit annual or biennial updates to its</w:t>
      </w:r>
      <w:r w:rsidR="00AE11B1">
        <w:rPr>
          <w:sz w:val="24"/>
          <w:szCs w:val="24"/>
        </w:rPr>
        <w:t xml:space="preserve"> ERCOT</w:t>
      </w:r>
      <w:r w:rsidR="008353FA">
        <w:rPr>
          <w:sz w:val="24"/>
          <w:szCs w:val="24"/>
        </w:rPr>
        <w:t xml:space="preserve"> 4CP class allocation factors to be used for TCRF proceedings.</w:t>
      </w:r>
    </w:p>
    <w:p w:rsidR="00F50E69" w:rsidRPr="009D31F6" w:rsidRDefault="003B6968" w:rsidP="009D31F6">
      <w:pPr>
        <w:pStyle w:val="Heading2"/>
        <w:ind w:left="0"/>
        <w:rPr>
          <w:u w:val="single"/>
        </w:rPr>
      </w:pPr>
      <w:bookmarkStart w:id="12" w:name="_Toc11826701"/>
      <w:r>
        <w:rPr>
          <w:u w:val="single"/>
        </w:rPr>
        <w:t>“Zeroing Out” the TCRF</w:t>
      </w:r>
      <w:bookmarkEnd w:id="12"/>
    </w:p>
    <w:p w:rsidR="003B6968" w:rsidRPr="00F50E69" w:rsidRDefault="003B6968" w:rsidP="003B6968">
      <w:pPr>
        <w:spacing w:line="480" w:lineRule="auto"/>
        <w:ind w:left="720" w:hanging="720"/>
        <w:jc w:val="both"/>
        <w:rPr>
          <w:b/>
          <w:sz w:val="24"/>
          <w:szCs w:val="24"/>
        </w:rPr>
      </w:pPr>
      <w:r w:rsidRPr="00F50E69">
        <w:rPr>
          <w:b/>
          <w:sz w:val="24"/>
          <w:szCs w:val="24"/>
        </w:rPr>
        <w:t xml:space="preserve">Q. </w:t>
      </w:r>
      <w:r w:rsidRPr="00F50E69">
        <w:rPr>
          <w:b/>
          <w:sz w:val="24"/>
          <w:szCs w:val="24"/>
        </w:rPr>
        <w:tab/>
      </w:r>
      <w:r>
        <w:rPr>
          <w:b/>
          <w:sz w:val="24"/>
          <w:szCs w:val="24"/>
        </w:rPr>
        <w:t>What does Mr. Pollock recommend regarding CenterPoint’s proposal to “zero out” the TCRF?</w:t>
      </w:r>
    </w:p>
    <w:p w:rsidR="003B6968" w:rsidRDefault="003B6968" w:rsidP="003B6968">
      <w:pPr>
        <w:spacing w:line="480" w:lineRule="auto"/>
        <w:ind w:left="720" w:hanging="720"/>
        <w:jc w:val="both"/>
        <w:rPr>
          <w:sz w:val="24"/>
          <w:szCs w:val="24"/>
        </w:rPr>
      </w:pPr>
      <w:r w:rsidRPr="00F50E69">
        <w:rPr>
          <w:sz w:val="24"/>
          <w:szCs w:val="24"/>
        </w:rPr>
        <w:t>A.</w:t>
      </w:r>
      <w:r w:rsidRPr="00F50E69">
        <w:rPr>
          <w:sz w:val="24"/>
          <w:szCs w:val="24"/>
        </w:rPr>
        <w:tab/>
      </w:r>
      <w:r>
        <w:rPr>
          <w:sz w:val="24"/>
          <w:szCs w:val="24"/>
        </w:rPr>
        <w:t>CenterPoint proposes to reset the TCRF rates to zero, and include all the current wholesale transmission expenses in the proposed base rate Transmission System Charge.</w:t>
      </w:r>
      <w:r>
        <w:rPr>
          <w:rStyle w:val="FootnoteReference"/>
          <w:sz w:val="24"/>
          <w:szCs w:val="24"/>
        </w:rPr>
        <w:footnoteReference w:id="40"/>
      </w:r>
      <w:r>
        <w:rPr>
          <w:sz w:val="24"/>
          <w:szCs w:val="24"/>
        </w:rPr>
        <w:t xml:space="preserve">  Mr. Pollock recommends that the Commission reject the Company’s proposal on this issue, and instead that the entirety of CenterPoint’s wholesale transmission expense be included in the TCRF rider and rates.</w:t>
      </w:r>
      <w:r>
        <w:rPr>
          <w:rStyle w:val="FootnoteReference"/>
          <w:sz w:val="24"/>
          <w:szCs w:val="24"/>
        </w:rPr>
        <w:footnoteReference w:id="41"/>
      </w:r>
    </w:p>
    <w:p w:rsidR="003B6968" w:rsidRDefault="003B6968" w:rsidP="003B6968">
      <w:pPr>
        <w:spacing w:line="480" w:lineRule="auto"/>
        <w:ind w:left="720" w:hanging="720"/>
        <w:jc w:val="both"/>
        <w:rPr>
          <w:b/>
          <w:sz w:val="24"/>
          <w:szCs w:val="24"/>
        </w:rPr>
      </w:pPr>
      <w:r>
        <w:rPr>
          <w:b/>
          <w:sz w:val="24"/>
          <w:szCs w:val="24"/>
        </w:rPr>
        <w:t>Q.</w:t>
      </w:r>
      <w:r>
        <w:rPr>
          <w:b/>
          <w:sz w:val="24"/>
          <w:szCs w:val="24"/>
        </w:rPr>
        <w:tab/>
        <w:t xml:space="preserve">What is the basis for Mr. Pollock’s recommendation </w:t>
      </w:r>
      <w:r w:rsidR="00F15569">
        <w:rPr>
          <w:b/>
          <w:sz w:val="24"/>
          <w:szCs w:val="24"/>
        </w:rPr>
        <w:t>to reject the Company’s proposal to “zero out”</w:t>
      </w:r>
      <w:r>
        <w:rPr>
          <w:b/>
          <w:sz w:val="24"/>
          <w:szCs w:val="24"/>
        </w:rPr>
        <w:t xml:space="preserve"> the TCRF?</w:t>
      </w:r>
    </w:p>
    <w:p w:rsidR="00126E63" w:rsidRDefault="003B6968" w:rsidP="003B6968">
      <w:pPr>
        <w:spacing w:line="480" w:lineRule="auto"/>
        <w:ind w:left="720" w:hanging="720"/>
        <w:jc w:val="both"/>
        <w:rPr>
          <w:sz w:val="24"/>
          <w:szCs w:val="24"/>
        </w:rPr>
      </w:pPr>
      <w:r>
        <w:rPr>
          <w:sz w:val="24"/>
          <w:szCs w:val="24"/>
        </w:rPr>
        <w:t>A.</w:t>
      </w:r>
      <w:r>
        <w:rPr>
          <w:sz w:val="24"/>
          <w:szCs w:val="24"/>
        </w:rPr>
        <w:tab/>
        <w:t xml:space="preserve">Mr. Pollock notes that under </w:t>
      </w:r>
      <w:r w:rsidRPr="003B6968">
        <w:rPr>
          <w:sz w:val="24"/>
          <w:szCs w:val="24"/>
        </w:rPr>
        <w:t>the current TCRF rule</w:t>
      </w:r>
      <w:r>
        <w:rPr>
          <w:sz w:val="24"/>
          <w:szCs w:val="24"/>
        </w:rPr>
        <w:t xml:space="preserve"> for ERCOT</w:t>
      </w:r>
      <w:r w:rsidR="00763A7E">
        <w:rPr>
          <w:sz w:val="24"/>
          <w:szCs w:val="24"/>
        </w:rPr>
        <w:t xml:space="preserve"> DSPs</w:t>
      </w:r>
      <w:r w:rsidRPr="003B6968">
        <w:rPr>
          <w:sz w:val="24"/>
          <w:szCs w:val="24"/>
        </w:rPr>
        <w:t>, 16 TAC § </w:t>
      </w:r>
      <w:r>
        <w:rPr>
          <w:sz w:val="24"/>
          <w:szCs w:val="24"/>
        </w:rPr>
        <w:t>25.193, load growth revenues are not accounted for when determining the amount of incremental cost recovery includable in TCRF rates.</w:t>
      </w:r>
      <w:r>
        <w:rPr>
          <w:rStyle w:val="FootnoteReference"/>
          <w:sz w:val="24"/>
          <w:szCs w:val="24"/>
        </w:rPr>
        <w:footnoteReference w:id="42"/>
      </w:r>
      <w:r w:rsidR="00B2077C">
        <w:rPr>
          <w:sz w:val="24"/>
          <w:szCs w:val="24"/>
        </w:rPr>
        <w:t xml:space="preserve">  This therefore produces a situation where, if load grows above the Test Year level, TCRF rates would be set at a level in excess of CenterPoint’s actual</w:t>
      </w:r>
      <w:r w:rsidR="00F15569">
        <w:rPr>
          <w:sz w:val="24"/>
          <w:szCs w:val="24"/>
        </w:rPr>
        <w:t xml:space="preserve"> unrecovered incremental</w:t>
      </w:r>
      <w:r w:rsidR="00B2077C">
        <w:rPr>
          <w:sz w:val="24"/>
          <w:szCs w:val="24"/>
        </w:rPr>
        <w:t xml:space="preserve"> wholesale transmission expenses that it incurs as a DSP, resulting in</w:t>
      </w:r>
      <w:r w:rsidR="00126E63">
        <w:rPr>
          <w:sz w:val="24"/>
          <w:szCs w:val="24"/>
        </w:rPr>
        <w:t xml:space="preserve"> an</w:t>
      </w:r>
      <w:r w:rsidR="00B2077C">
        <w:rPr>
          <w:sz w:val="24"/>
          <w:szCs w:val="24"/>
        </w:rPr>
        <w:t xml:space="preserve"> over-recovery of wholesale transmission expenses.  Mr. Pollock correctly notes that his recommendation reflects the status-quo treatment for Oncor Electric Delivery Company and Texas-New Mexico Power.</w:t>
      </w:r>
      <w:r w:rsidR="00B2077C">
        <w:rPr>
          <w:rStyle w:val="FootnoteReference"/>
          <w:sz w:val="24"/>
          <w:szCs w:val="24"/>
        </w:rPr>
        <w:footnoteReference w:id="43"/>
      </w:r>
    </w:p>
    <w:p w:rsidR="00F15569" w:rsidRDefault="00126E63" w:rsidP="003B6968">
      <w:pPr>
        <w:spacing w:line="480" w:lineRule="auto"/>
        <w:ind w:left="720" w:hanging="720"/>
        <w:jc w:val="both"/>
        <w:rPr>
          <w:b/>
          <w:sz w:val="24"/>
          <w:szCs w:val="24"/>
        </w:rPr>
      </w:pPr>
      <w:r>
        <w:rPr>
          <w:b/>
          <w:sz w:val="24"/>
          <w:szCs w:val="24"/>
        </w:rPr>
        <w:t>Q.</w:t>
      </w:r>
      <w:r>
        <w:rPr>
          <w:b/>
          <w:sz w:val="24"/>
          <w:szCs w:val="24"/>
        </w:rPr>
        <w:tab/>
      </w:r>
      <w:r w:rsidR="008353FA">
        <w:rPr>
          <w:b/>
          <w:sz w:val="24"/>
          <w:szCs w:val="24"/>
        </w:rPr>
        <w:t>What do</w:t>
      </w:r>
      <w:r w:rsidR="00763A7E">
        <w:rPr>
          <w:b/>
          <w:sz w:val="24"/>
          <w:szCs w:val="24"/>
        </w:rPr>
        <w:t xml:space="preserve"> you</w:t>
      </w:r>
      <w:r w:rsidR="008353FA">
        <w:rPr>
          <w:b/>
          <w:sz w:val="24"/>
          <w:szCs w:val="24"/>
        </w:rPr>
        <w:t xml:space="preserve"> recommend with regard to </w:t>
      </w:r>
      <w:r w:rsidR="00F15569">
        <w:rPr>
          <w:b/>
          <w:sz w:val="24"/>
          <w:szCs w:val="24"/>
        </w:rPr>
        <w:t>Mr. Pollock’s proposal on this issue?</w:t>
      </w:r>
    </w:p>
    <w:p w:rsidR="007E367F" w:rsidRDefault="00F15569" w:rsidP="003B6968">
      <w:pPr>
        <w:spacing w:line="480" w:lineRule="auto"/>
        <w:ind w:left="720" w:hanging="720"/>
        <w:jc w:val="both"/>
        <w:rPr>
          <w:sz w:val="24"/>
          <w:szCs w:val="24"/>
        </w:rPr>
      </w:pPr>
      <w:r>
        <w:rPr>
          <w:sz w:val="24"/>
          <w:szCs w:val="24"/>
        </w:rPr>
        <w:t>A.</w:t>
      </w:r>
      <w:r>
        <w:rPr>
          <w:sz w:val="24"/>
          <w:szCs w:val="24"/>
        </w:rPr>
        <w:tab/>
        <w:t xml:space="preserve">Again, there is merit to Mr. Pollock’s arguments; however, I recommend that the Commission reject Mr. Pollock’s proposal that transmission cost recovery be removed from base rate transmission service charges and included entirely in the TCRF rates.  Mr. Pollock is correct that load growth is not accounted for under the current TCRF rule, and that over-recovery of transmission expenses is therefore a </w:t>
      </w:r>
      <w:r w:rsidR="009A6CF5">
        <w:rPr>
          <w:sz w:val="24"/>
          <w:szCs w:val="24"/>
        </w:rPr>
        <w:t>potential</w:t>
      </w:r>
      <w:r>
        <w:rPr>
          <w:sz w:val="24"/>
          <w:szCs w:val="24"/>
        </w:rPr>
        <w:t xml:space="preserve"> outcome.  However, CenterPoint’s proposal to “zero out” the TCRF and move cost recovery into base rates is consistent with the existing TCRF rule and precedent.  Furthermore, it is important to note that “zeroing out” the TCRF in rate cases actually serves to mitigate the “cost-shifting” </w:t>
      </w:r>
      <w:r w:rsidR="00F26D01">
        <w:rPr>
          <w:sz w:val="24"/>
          <w:szCs w:val="24"/>
        </w:rPr>
        <w:t xml:space="preserve">or “moderation” </w:t>
      </w:r>
      <w:r>
        <w:rPr>
          <w:sz w:val="24"/>
          <w:szCs w:val="24"/>
        </w:rPr>
        <w:t xml:space="preserve">issue associated with the resetting of the 4CP class allocation factor </w:t>
      </w:r>
      <w:r w:rsidR="001F1A86">
        <w:rPr>
          <w:sz w:val="24"/>
          <w:szCs w:val="24"/>
        </w:rPr>
        <w:t>that</w:t>
      </w:r>
      <w:r>
        <w:rPr>
          <w:sz w:val="24"/>
          <w:szCs w:val="24"/>
        </w:rPr>
        <w:t xml:space="preserve"> Mr. Pollock also takes issue with, and which I discussed above.  </w:t>
      </w:r>
      <w:r w:rsidR="00F26D01">
        <w:rPr>
          <w:sz w:val="24"/>
          <w:szCs w:val="24"/>
        </w:rPr>
        <w:t>Moving transmission cost recovery from the TCRF and into base rates, as proposed by CenterPoint, reduces the magnitude of any mismatch</w:t>
      </w:r>
      <w:r w:rsidR="001F1A86">
        <w:rPr>
          <w:sz w:val="24"/>
          <w:szCs w:val="24"/>
        </w:rPr>
        <w:t xml:space="preserve"> that may arise</w:t>
      </w:r>
      <w:r w:rsidR="00F26D01">
        <w:rPr>
          <w:sz w:val="24"/>
          <w:szCs w:val="24"/>
        </w:rPr>
        <w:t xml:space="preserve"> between the fixed 4CP class allocation factors and the updated billing determinants under the TCRF.  This is why the actual overall rate increase faced by retail Transmission customers is less than the 22.1% that Mr. Pollock calculated based solely on the change to the 4CP class allocation factor value for the retail Transmission rate class</w:t>
      </w:r>
      <w:r w:rsidR="001F1A86">
        <w:rPr>
          <w:sz w:val="24"/>
          <w:szCs w:val="24"/>
        </w:rPr>
        <w:t>, as discussed previously</w:t>
      </w:r>
      <w:r w:rsidR="00F26D01">
        <w:rPr>
          <w:sz w:val="24"/>
          <w:szCs w:val="24"/>
        </w:rPr>
        <w:t>.</w:t>
      </w:r>
      <w:r w:rsidR="001F1A86">
        <w:rPr>
          <w:sz w:val="24"/>
          <w:szCs w:val="24"/>
        </w:rPr>
        <w:t xml:space="preserve">  In other words, the two “flaws” in the TCRF rule that Mr. Pollock </w:t>
      </w:r>
      <w:r w:rsidR="0029666C">
        <w:rPr>
          <w:sz w:val="24"/>
          <w:szCs w:val="24"/>
        </w:rPr>
        <w:t>takes issue with</w:t>
      </w:r>
      <w:r w:rsidR="001F1A86">
        <w:rPr>
          <w:sz w:val="24"/>
          <w:szCs w:val="24"/>
        </w:rPr>
        <w:t xml:space="preserve"> actu</w:t>
      </w:r>
      <w:r w:rsidR="0029666C">
        <w:rPr>
          <w:sz w:val="24"/>
          <w:szCs w:val="24"/>
        </w:rPr>
        <w:t>ally somewhat offset each other, in the sense that load growth serves to mitigate the update to the 4CP class allocation factor.  Based on this, I recommend that Mr. Pollock’s proposal be rejected, and that CenterPoint’s proposal to “zero out” the TCRF be approved.</w:t>
      </w:r>
    </w:p>
    <w:p w:rsidR="007E367F" w:rsidRDefault="007E367F" w:rsidP="003B6968">
      <w:pPr>
        <w:spacing w:line="480" w:lineRule="auto"/>
        <w:ind w:left="720" w:hanging="720"/>
        <w:jc w:val="both"/>
        <w:rPr>
          <w:sz w:val="24"/>
          <w:szCs w:val="24"/>
        </w:rPr>
      </w:pPr>
    </w:p>
    <w:p w:rsidR="007A3B59" w:rsidRPr="00987C06" w:rsidRDefault="007A3B59" w:rsidP="007A3B59">
      <w:pPr>
        <w:pStyle w:val="Heading1"/>
        <w:numPr>
          <w:ilvl w:val="0"/>
          <w:numId w:val="1"/>
        </w:numPr>
        <w:tabs>
          <w:tab w:val="clear" w:pos="720"/>
          <w:tab w:val="num" w:pos="1080"/>
        </w:tabs>
        <w:spacing w:line="480" w:lineRule="auto"/>
        <w:jc w:val="both"/>
        <w:rPr>
          <w:sz w:val="24"/>
          <w:szCs w:val="24"/>
        </w:rPr>
      </w:pPr>
      <w:bookmarkStart w:id="13" w:name="_Toc11826702"/>
      <w:r>
        <w:rPr>
          <w:sz w:val="24"/>
          <w:szCs w:val="24"/>
        </w:rPr>
        <w:t>RESPONSE TO HEB WITNESS GEORGE PRESSES AND TO TCPA ON 4CP ISSUES</w:t>
      </w:r>
      <w:bookmarkEnd w:id="13"/>
    </w:p>
    <w:p w:rsidR="00A31031" w:rsidRDefault="004D1447" w:rsidP="003B6968">
      <w:pPr>
        <w:spacing w:line="480" w:lineRule="auto"/>
        <w:ind w:left="720" w:hanging="720"/>
        <w:jc w:val="both"/>
        <w:rPr>
          <w:b/>
          <w:sz w:val="24"/>
          <w:szCs w:val="24"/>
        </w:rPr>
      </w:pPr>
      <w:r>
        <w:rPr>
          <w:b/>
          <w:sz w:val="24"/>
          <w:szCs w:val="24"/>
        </w:rPr>
        <w:t>Q.</w:t>
      </w:r>
      <w:r>
        <w:rPr>
          <w:b/>
          <w:sz w:val="24"/>
          <w:szCs w:val="24"/>
        </w:rPr>
        <w:tab/>
      </w:r>
      <w:r w:rsidR="00A31031">
        <w:rPr>
          <w:b/>
          <w:sz w:val="24"/>
          <w:szCs w:val="24"/>
        </w:rPr>
        <w:t>What position do HEB and TCPA take with regard to the 4CP issues?</w:t>
      </w:r>
    </w:p>
    <w:p w:rsidR="0079794E" w:rsidRDefault="00A31031" w:rsidP="0079794E">
      <w:pPr>
        <w:spacing w:line="480" w:lineRule="auto"/>
        <w:ind w:left="720" w:hanging="720"/>
        <w:jc w:val="both"/>
        <w:rPr>
          <w:sz w:val="24"/>
          <w:szCs w:val="24"/>
        </w:rPr>
      </w:pPr>
      <w:r>
        <w:rPr>
          <w:sz w:val="24"/>
          <w:szCs w:val="24"/>
        </w:rPr>
        <w:t>A.</w:t>
      </w:r>
      <w:r>
        <w:rPr>
          <w:sz w:val="24"/>
          <w:szCs w:val="24"/>
        </w:rPr>
        <w:tab/>
        <w:t xml:space="preserve">There is some ambiguity regarding the exact position which these two parties take.  </w:t>
      </w:r>
      <w:r w:rsidR="001E1670">
        <w:rPr>
          <w:sz w:val="24"/>
          <w:szCs w:val="24"/>
        </w:rPr>
        <w:t>HEB’s</w:t>
      </w:r>
      <w:r>
        <w:rPr>
          <w:sz w:val="24"/>
          <w:szCs w:val="24"/>
        </w:rPr>
        <w:t xml:space="preserve"> testimony and </w:t>
      </w:r>
      <w:r w:rsidR="001E1670">
        <w:rPr>
          <w:sz w:val="24"/>
          <w:szCs w:val="24"/>
        </w:rPr>
        <w:t xml:space="preserve">TCPA’s </w:t>
      </w:r>
      <w:r>
        <w:rPr>
          <w:sz w:val="24"/>
          <w:szCs w:val="24"/>
        </w:rPr>
        <w:t xml:space="preserve">statement of position state </w:t>
      </w:r>
      <w:r w:rsidR="001E1670">
        <w:rPr>
          <w:sz w:val="24"/>
          <w:szCs w:val="24"/>
        </w:rPr>
        <w:t>an</w:t>
      </w:r>
      <w:r>
        <w:rPr>
          <w:sz w:val="24"/>
          <w:szCs w:val="24"/>
        </w:rPr>
        <w:t xml:space="preserve"> opposition to a 4CP class </w:t>
      </w:r>
      <w:r>
        <w:rPr>
          <w:i/>
          <w:sz w:val="24"/>
          <w:szCs w:val="24"/>
        </w:rPr>
        <w:t>allocation</w:t>
      </w:r>
      <w:r w:rsidR="000A5EE5" w:rsidRPr="000A5EE5">
        <w:rPr>
          <w:sz w:val="24"/>
          <w:szCs w:val="24"/>
        </w:rPr>
        <w:t>;</w:t>
      </w:r>
      <w:r>
        <w:rPr>
          <w:sz w:val="24"/>
          <w:szCs w:val="24"/>
        </w:rPr>
        <w:t xml:space="preserve"> however</w:t>
      </w:r>
      <w:r w:rsidR="000A5EE5">
        <w:rPr>
          <w:sz w:val="24"/>
          <w:szCs w:val="24"/>
        </w:rPr>
        <w:t>,</w:t>
      </w:r>
      <w:r>
        <w:rPr>
          <w:sz w:val="24"/>
          <w:szCs w:val="24"/>
        </w:rPr>
        <w:t xml:space="preserve"> most of their discussion addresses concerns with a 4CP </w:t>
      </w:r>
      <w:r>
        <w:rPr>
          <w:i/>
          <w:sz w:val="24"/>
          <w:szCs w:val="24"/>
        </w:rPr>
        <w:t>rate design</w:t>
      </w:r>
      <w:r>
        <w:rPr>
          <w:sz w:val="24"/>
          <w:szCs w:val="24"/>
        </w:rPr>
        <w:t xml:space="preserve">.  </w:t>
      </w:r>
      <w:r w:rsidR="001E1670">
        <w:rPr>
          <w:sz w:val="24"/>
          <w:szCs w:val="24"/>
        </w:rPr>
        <w:t xml:space="preserve">As mentioned previously, class allocation involves the allocation of costs </w:t>
      </w:r>
      <w:r w:rsidR="001E1670" w:rsidRPr="00917DA8">
        <w:rPr>
          <w:i/>
          <w:sz w:val="24"/>
          <w:szCs w:val="24"/>
        </w:rPr>
        <w:t>among the rate classes</w:t>
      </w:r>
      <w:r w:rsidR="001E1670">
        <w:rPr>
          <w:sz w:val="24"/>
          <w:szCs w:val="24"/>
        </w:rPr>
        <w:t xml:space="preserve"> and the establishment of each rate class’s cost of service</w:t>
      </w:r>
      <w:r w:rsidR="00917DA8">
        <w:rPr>
          <w:sz w:val="24"/>
          <w:szCs w:val="24"/>
        </w:rPr>
        <w:t xml:space="preserve"> –</w:t>
      </w:r>
      <w:r w:rsidR="00F06502">
        <w:rPr>
          <w:sz w:val="24"/>
          <w:szCs w:val="24"/>
        </w:rPr>
        <w:t xml:space="preserve"> </w:t>
      </w:r>
      <w:r w:rsidR="00917DA8">
        <w:rPr>
          <w:sz w:val="24"/>
          <w:szCs w:val="24"/>
        </w:rPr>
        <w:t xml:space="preserve">it addresses the question of how </w:t>
      </w:r>
      <w:r w:rsidR="00917DA8" w:rsidRPr="00917DA8">
        <w:rPr>
          <w:i/>
          <w:sz w:val="24"/>
          <w:szCs w:val="24"/>
        </w:rPr>
        <w:t>much</w:t>
      </w:r>
      <w:r w:rsidR="00917DA8">
        <w:rPr>
          <w:sz w:val="24"/>
          <w:szCs w:val="24"/>
        </w:rPr>
        <w:t xml:space="preserve"> should each rate class pay overall</w:t>
      </w:r>
      <w:r w:rsidR="001E1670">
        <w:rPr>
          <w:sz w:val="24"/>
          <w:szCs w:val="24"/>
        </w:rPr>
        <w:t xml:space="preserve">.  Rate design refers to the design of the individual rates </w:t>
      </w:r>
      <w:r w:rsidR="001E1670" w:rsidRPr="00917DA8">
        <w:rPr>
          <w:i/>
          <w:sz w:val="24"/>
          <w:szCs w:val="24"/>
        </w:rPr>
        <w:t xml:space="preserve">within a </w:t>
      </w:r>
      <w:r w:rsidR="00917DA8">
        <w:rPr>
          <w:i/>
          <w:sz w:val="24"/>
          <w:szCs w:val="24"/>
        </w:rPr>
        <w:t xml:space="preserve">rate </w:t>
      </w:r>
      <w:r w:rsidR="001E1670" w:rsidRPr="00917DA8">
        <w:rPr>
          <w:i/>
          <w:sz w:val="24"/>
          <w:szCs w:val="24"/>
        </w:rPr>
        <w:t>class</w:t>
      </w:r>
      <w:r w:rsidR="001E1670">
        <w:rPr>
          <w:sz w:val="24"/>
          <w:szCs w:val="24"/>
        </w:rPr>
        <w:t xml:space="preserve"> based on the class’s cost of service and the relevant billing determinants</w:t>
      </w:r>
      <w:r w:rsidR="00917DA8">
        <w:rPr>
          <w:sz w:val="24"/>
          <w:szCs w:val="24"/>
        </w:rPr>
        <w:t xml:space="preserve"> – the question here is what the particular rates should be and how exactly should individuals within a class be charged.</w:t>
      </w:r>
      <w:r w:rsidR="001E1670">
        <w:rPr>
          <w:sz w:val="24"/>
          <w:szCs w:val="24"/>
        </w:rPr>
        <w:t xml:space="preserve">  </w:t>
      </w:r>
      <w:r>
        <w:rPr>
          <w:sz w:val="24"/>
          <w:szCs w:val="24"/>
        </w:rPr>
        <w:t xml:space="preserve">To ensure completeness, I will address </w:t>
      </w:r>
      <w:r w:rsidR="001E1670">
        <w:rPr>
          <w:sz w:val="24"/>
          <w:szCs w:val="24"/>
        </w:rPr>
        <w:t>both 4CP cost allocation as well as 4CP rate design.</w:t>
      </w:r>
      <w:r w:rsidR="000177D0">
        <w:rPr>
          <w:sz w:val="24"/>
          <w:szCs w:val="24"/>
        </w:rPr>
        <w:t xml:space="preserve">  As these parties recommend non-coincident peak (</w:t>
      </w:r>
      <w:r w:rsidR="00F06502">
        <w:rPr>
          <w:sz w:val="24"/>
          <w:szCs w:val="24"/>
        </w:rPr>
        <w:t>“</w:t>
      </w:r>
      <w:r w:rsidR="000177D0">
        <w:rPr>
          <w:sz w:val="24"/>
          <w:szCs w:val="24"/>
        </w:rPr>
        <w:t>NCP</w:t>
      </w:r>
      <w:r w:rsidR="00F06502">
        <w:rPr>
          <w:sz w:val="24"/>
          <w:szCs w:val="24"/>
        </w:rPr>
        <w:t>”</w:t>
      </w:r>
      <w:r w:rsidR="000177D0">
        <w:rPr>
          <w:sz w:val="24"/>
          <w:szCs w:val="24"/>
        </w:rPr>
        <w:t xml:space="preserve">) approaches instead of 4CP approaches, </w:t>
      </w:r>
      <w:r w:rsidR="00902A38">
        <w:rPr>
          <w:sz w:val="24"/>
          <w:szCs w:val="24"/>
        </w:rPr>
        <w:t xml:space="preserve">portions of </w:t>
      </w:r>
      <w:r w:rsidR="000177D0">
        <w:rPr>
          <w:sz w:val="24"/>
          <w:szCs w:val="24"/>
        </w:rPr>
        <w:t>my discussion will focus on the difference between coincident-peak (CP) allocations and rate designs</w:t>
      </w:r>
      <w:r w:rsidR="009F7B4F">
        <w:rPr>
          <w:sz w:val="24"/>
          <w:szCs w:val="24"/>
        </w:rPr>
        <w:t xml:space="preserve"> in general</w:t>
      </w:r>
      <w:r w:rsidR="000177D0">
        <w:rPr>
          <w:sz w:val="24"/>
          <w:szCs w:val="24"/>
        </w:rPr>
        <w:t xml:space="preserve"> versus </w:t>
      </w:r>
      <w:r w:rsidR="009F7B4F">
        <w:rPr>
          <w:sz w:val="24"/>
          <w:szCs w:val="24"/>
        </w:rPr>
        <w:t>NCP</w:t>
      </w:r>
      <w:r w:rsidR="000177D0">
        <w:rPr>
          <w:sz w:val="24"/>
          <w:szCs w:val="24"/>
        </w:rPr>
        <w:t xml:space="preserve"> allocations and rate designs.</w:t>
      </w:r>
      <w:r w:rsidR="0079794E">
        <w:rPr>
          <w:sz w:val="24"/>
          <w:szCs w:val="24"/>
        </w:rPr>
        <w:br w:type="page"/>
      </w:r>
    </w:p>
    <w:p w:rsidR="001E1670" w:rsidRDefault="001E1670" w:rsidP="003B6968">
      <w:pPr>
        <w:spacing w:line="480" w:lineRule="auto"/>
        <w:ind w:left="720" w:hanging="720"/>
        <w:jc w:val="both"/>
        <w:rPr>
          <w:b/>
          <w:sz w:val="24"/>
          <w:szCs w:val="24"/>
        </w:rPr>
      </w:pPr>
      <w:r>
        <w:rPr>
          <w:b/>
          <w:sz w:val="24"/>
          <w:szCs w:val="24"/>
        </w:rPr>
        <w:t>Q.</w:t>
      </w:r>
      <w:r>
        <w:rPr>
          <w:b/>
          <w:sz w:val="24"/>
          <w:szCs w:val="24"/>
        </w:rPr>
        <w:tab/>
        <w:t>What are some examples of ambiguity on the 4CP issues?</w:t>
      </w:r>
    </w:p>
    <w:p w:rsidR="00282ED8" w:rsidRDefault="001E1670" w:rsidP="003B6968">
      <w:pPr>
        <w:spacing w:line="480" w:lineRule="auto"/>
        <w:ind w:left="720" w:hanging="720"/>
        <w:jc w:val="both"/>
        <w:rPr>
          <w:sz w:val="24"/>
          <w:szCs w:val="24"/>
        </w:rPr>
      </w:pPr>
      <w:r>
        <w:rPr>
          <w:sz w:val="24"/>
          <w:szCs w:val="24"/>
        </w:rPr>
        <w:t>A.</w:t>
      </w:r>
      <w:r>
        <w:rPr>
          <w:sz w:val="24"/>
          <w:szCs w:val="24"/>
        </w:rPr>
        <w:tab/>
        <w:t xml:space="preserve">The testimony of HEB witness George Presses states “my testimony addresses the proposed application of the Four Coincident Peak (“4CP”) for </w:t>
      </w:r>
      <w:r w:rsidRPr="001E1670">
        <w:rPr>
          <w:i/>
          <w:sz w:val="24"/>
          <w:szCs w:val="24"/>
        </w:rPr>
        <w:t>distribution allocation</w:t>
      </w:r>
      <w:r>
        <w:rPr>
          <w:sz w:val="24"/>
          <w:szCs w:val="24"/>
        </w:rPr>
        <w:t xml:space="preserve">…” (allocation), then goes on to state that the “application of the CenterPoint 4CP or the ERCOT 4CP </w:t>
      </w:r>
      <w:r>
        <w:rPr>
          <w:i/>
          <w:sz w:val="24"/>
          <w:szCs w:val="24"/>
        </w:rPr>
        <w:t>in any rate class</w:t>
      </w:r>
      <w:r>
        <w:rPr>
          <w:sz w:val="24"/>
          <w:szCs w:val="24"/>
        </w:rPr>
        <w:t xml:space="preserve"> distorts the price signals of the energy-only market”  (</w:t>
      </w:r>
      <w:r w:rsidR="00917DA8">
        <w:rPr>
          <w:sz w:val="24"/>
          <w:szCs w:val="24"/>
        </w:rPr>
        <w:t>rate design).</w:t>
      </w:r>
      <w:r w:rsidR="00917DA8">
        <w:rPr>
          <w:rStyle w:val="FootnoteReference"/>
          <w:sz w:val="24"/>
          <w:szCs w:val="24"/>
        </w:rPr>
        <w:footnoteReference w:id="44"/>
      </w:r>
      <w:r w:rsidR="00917DA8">
        <w:rPr>
          <w:sz w:val="24"/>
          <w:szCs w:val="24"/>
        </w:rPr>
        <w:t xml:space="preserve">  The same ambiguity arises later in Mr. Presses testimony, when he states “H-E-B favors the NCP </w:t>
      </w:r>
      <w:r w:rsidR="00917DA8">
        <w:rPr>
          <w:i/>
          <w:sz w:val="24"/>
          <w:szCs w:val="24"/>
        </w:rPr>
        <w:t>cost allocation</w:t>
      </w:r>
      <w:r w:rsidR="00917DA8">
        <w:rPr>
          <w:sz w:val="24"/>
          <w:szCs w:val="24"/>
        </w:rPr>
        <w:t xml:space="preserve">…” (cost allocation) and then that “using the NCP protects H-E-B’s customers and Partners from future cost shifting to residential customers that results from </w:t>
      </w:r>
      <w:r w:rsidR="00917DA8" w:rsidRPr="00917DA8">
        <w:rPr>
          <w:i/>
          <w:sz w:val="24"/>
          <w:szCs w:val="24"/>
        </w:rPr>
        <w:t>4CP customers</w:t>
      </w:r>
      <w:r w:rsidR="00917DA8">
        <w:rPr>
          <w:sz w:val="24"/>
          <w:szCs w:val="24"/>
        </w:rPr>
        <w:t xml:space="preserve"> continuing to “game the system” to avoid paying 4CP </w:t>
      </w:r>
      <w:r w:rsidR="00917DA8">
        <w:rPr>
          <w:i/>
          <w:sz w:val="24"/>
          <w:szCs w:val="24"/>
        </w:rPr>
        <w:t>charges</w:t>
      </w:r>
      <w:r w:rsidR="00917DA8">
        <w:rPr>
          <w:sz w:val="24"/>
          <w:szCs w:val="24"/>
        </w:rPr>
        <w:t>” (rate design) and that “all customer class</w:t>
      </w:r>
      <w:r w:rsidR="009A6CF5">
        <w:rPr>
          <w:sz w:val="24"/>
          <w:szCs w:val="24"/>
        </w:rPr>
        <w:t>es</w:t>
      </w:r>
      <w:r w:rsidR="00917DA8">
        <w:rPr>
          <w:sz w:val="24"/>
          <w:szCs w:val="24"/>
        </w:rPr>
        <w:t xml:space="preserve"> should </w:t>
      </w:r>
      <w:r w:rsidR="00917DA8">
        <w:rPr>
          <w:i/>
          <w:sz w:val="24"/>
          <w:szCs w:val="24"/>
        </w:rPr>
        <w:t>pay</w:t>
      </w:r>
      <w:r w:rsidR="00917DA8">
        <w:rPr>
          <w:sz w:val="24"/>
          <w:szCs w:val="24"/>
        </w:rPr>
        <w:t xml:space="preserve"> NCP…” (rate design).</w:t>
      </w:r>
      <w:r w:rsidR="00917DA8">
        <w:rPr>
          <w:rStyle w:val="FootnoteReference"/>
          <w:sz w:val="24"/>
          <w:szCs w:val="24"/>
        </w:rPr>
        <w:footnoteReference w:id="45"/>
      </w:r>
    </w:p>
    <w:p w:rsidR="0079794E" w:rsidRDefault="00282ED8" w:rsidP="0079794E">
      <w:pPr>
        <w:spacing w:line="480" w:lineRule="auto"/>
        <w:ind w:left="720" w:hanging="720"/>
        <w:jc w:val="both"/>
        <w:rPr>
          <w:sz w:val="24"/>
          <w:szCs w:val="24"/>
        </w:rPr>
      </w:pPr>
      <w:r>
        <w:rPr>
          <w:sz w:val="24"/>
          <w:szCs w:val="24"/>
        </w:rPr>
        <w:tab/>
      </w:r>
      <w:r>
        <w:rPr>
          <w:sz w:val="24"/>
          <w:szCs w:val="24"/>
        </w:rPr>
        <w:tab/>
      </w:r>
      <w:r w:rsidR="00DF7914">
        <w:rPr>
          <w:sz w:val="24"/>
          <w:szCs w:val="24"/>
        </w:rPr>
        <w:t xml:space="preserve">TCPA likewise states that it agrees with HEB “that </w:t>
      </w:r>
      <w:r w:rsidR="00DF7914">
        <w:rPr>
          <w:i/>
          <w:sz w:val="24"/>
          <w:szCs w:val="24"/>
        </w:rPr>
        <w:t>allocation</w:t>
      </w:r>
      <w:r w:rsidR="00DF7914">
        <w:rPr>
          <w:sz w:val="24"/>
          <w:szCs w:val="24"/>
        </w:rPr>
        <w:t xml:space="preserve"> of costs on a Non-Coincident Peak (NCP) basis would be preferable…” (cost allocation)</w:t>
      </w:r>
      <w:r w:rsidR="00CA6596">
        <w:rPr>
          <w:sz w:val="24"/>
          <w:szCs w:val="24"/>
        </w:rPr>
        <w:t>, but then references that “as much as 1,500 MW of load actively pursues reduction during 4CP intervals…” (rate design).</w:t>
      </w:r>
      <w:r w:rsidR="00CA6596">
        <w:rPr>
          <w:rStyle w:val="FootnoteReference"/>
          <w:sz w:val="24"/>
          <w:szCs w:val="24"/>
        </w:rPr>
        <w:footnoteReference w:id="46"/>
      </w:r>
      <w:r w:rsidR="00A076F7">
        <w:rPr>
          <w:sz w:val="24"/>
          <w:szCs w:val="24"/>
        </w:rPr>
        <w:t xml:space="preserve">  TCPA cites to excerpts from a report by William Hogan and Susan Pope</w:t>
      </w:r>
      <w:r w:rsidR="00A076F7">
        <w:rPr>
          <w:rStyle w:val="FootnoteReference"/>
          <w:sz w:val="24"/>
          <w:szCs w:val="24"/>
        </w:rPr>
        <w:footnoteReference w:id="47"/>
      </w:r>
      <w:r w:rsidR="009A6CF5">
        <w:rPr>
          <w:sz w:val="24"/>
          <w:szCs w:val="24"/>
        </w:rPr>
        <w:t xml:space="preserve"> (“Hogan-Pope r</w:t>
      </w:r>
      <w:r w:rsidR="00A076F7">
        <w:rPr>
          <w:sz w:val="24"/>
          <w:szCs w:val="24"/>
        </w:rPr>
        <w:t>eport”) and a report by the ERCOT Independent Market Monitor</w:t>
      </w:r>
      <w:r w:rsidR="00A076F7">
        <w:rPr>
          <w:rStyle w:val="FootnoteReference"/>
          <w:sz w:val="24"/>
          <w:szCs w:val="24"/>
        </w:rPr>
        <w:footnoteReference w:id="48"/>
      </w:r>
      <w:r w:rsidR="00A076F7">
        <w:rPr>
          <w:sz w:val="24"/>
          <w:szCs w:val="24"/>
        </w:rPr>
        <w:t xml:space="preserve"> (“IMM </w:t>
      </w:r>
      <w:r w:rsidR="009A6CF5">
        <w:rPr>
          <w:sz w:val="24"/>
          <w:szCs w:val="24"/>
        </w:rPr>
        <w:t>r</w:t>
      </w:r>
      <w:r w:rsidR="00A076F7">
        <w:rPr>
          <w:sz w:val="24"/>
          <w:szCs w:val="24"/>
        </w:rPr>
        <w:t>eport”)</w:t>
      </w:r>
      <w:r w:rsidR="000177D0">
        <w:rPr>
          <w:sz w:val="24"/>
          <w:szCs w:val="24"/>
        </w:rPr>
        <w:t xml:space="preserve"> to support its position</w:t>
      </w:r>
      <w:r w:rsidR="00A076F7">
        <w:rPr>
          <w:sz w:val="24"/>
          <w:szCs w:val="24"/>
        </w:rPr>
        <w:t>.</w:t>
      </w:r>
      <w:r w:rsidR="000177D0">
        <w:rPr>
          <w:sz w:val="24"/>
          <w:szCs w:val="24"/>
        </w:rPr>
        <w:t xml:space="preserve">  Where they discuss 4CP issues, both the Hogan-Pope </w:t>
      </w:r>
      <w:r w:rsidR="009862CE">
        <w:rPr>
          <w:sz w:val="24"/>
          <w:szCs w:val="24"/>
        </w:rPr>
        <w:t>r</w:t>
      </w:r>
      <w:r w:rsidR="000177D0">
        <w:rPr>
          <w:sz w:val="24"/>
          <w:szCs w:val="24"/>
        </w:rPr>
        <w:t xml:space="preserve">eport and the IMM </w:t>
      </w:r>
      <w:r w:rsidR="009862CE">
        <w:rPr>
          <w:sz w:val="24"/>
          <w:szCs w:val="24"/>
        </w:rPr>
        <w:t>r</w:t>
      </w:r>
      <w:r w:rsidR="000177D0">
        <w:rPr>
          <w:sz w:val="24"/>
          <w:szCs w:val="24"/>
        </w:rPr>
        <w:t xml:space="preserve">eport </w:t>
      </w:r>
      <w:r w:rsidR="009A6CF5">
        <w:rPr>
          <w:sz w:val="24"/>
          <w:szCs w:val="24"/>
        </w:rPr>
        <w:t>address</w:t>
      </w:r>
      <w:r w:rsidR="000177D0">
        <w:rPr>
          <w:sz w:val="24"/>
          <w:szCs w:val="24"/>
        </w:rPr>
        <w:t xml:space="preserve"> concerns related to customers’ responses to a 4CP </w:t>
      </w:r>
      <w:r w:rsidR="000177D0">
        <w:rPr>
          <w:i/>
          <w:sz w:val="24"/>
          <w:szCs w:val="24"/>
        </w:rPr>
        <w:t>rate design</w:t>
      </w:r>
      <w:r w:rsidR="000177D0">
        <w:rPr>
          <w:sz w:val="24"/>
          <w:szCs w:val="24"/>
        </w:rPr>
        <w:t>, though both reports</w:t>
      </w:r>
      <w:r w:rsidR="00F06502">
        <w:rPr>
          <w:sz w:val="24"/>
          <w:szCs w:val="24"/>
        </w:rPr>
        <w:t xml:space="preserve"> imprecisely</w:t>
      </w:r>
      <w:r w:rsidR="000177D0">
        <w:rPr>
          <w:sz w:val="24"/>
          <w:szCs w:val="24"/>
        </w:rPr>
        <w:t xml:space="preserve"> refer to their concerns as related to </w:t>
      </w:r>
      <w:r w:rsidR="000177D0">
        <w:rPr>
          <w:i/>
          <w:sz w:val="24"/>
          <w:szCs w:val="24"/>
        </w:rPr>
        <w:t>cost allocation</w:t>
      </w:r>
      <w:r w:rsidR="000177D0">
        <w:rPr>
          <w:sz w:val="24"/>
          <w:szCs w:val="24"/>
        </w:rPr>
        <w:t>.</w:t>
      </w:r>
      <w:r w:rsidR="000177D0">
        <w:rPr>
          <w:rStyle w:val="FootnoteReference"/>
          <w:sz w:val="24"/>
          <w:szCs w:val="24"/>
        </w:rPr>
        <w:footnoteReference w:id="49"/>
      </w:r>
    </w:p>
    <w:p w:rsidR="00E77A0E" w:rsidRPr="00E77A0E" w:rsidRDefault="00E77A0E" w:rsidP="00E77A0E">
      <w:pPr>
        <w:spacing w:line="480" w:lineRule="auto"/>
        <w:ind w:left="720" w:hanging="720"/>
        <w:jc w:val="both"/>
        <w:rPr>
          <w:b/>
          <w:sz w:val="24"/>
          <w:szCs w:val="24"/>
        </w:rPr>
      </w:pPr>
      <w:r w:rsidRPr="00E77A0E">
        <w:rPr>
          <w:b/>
          <w:sz w:val="24"/>
          <w:szCs w:val="24"/>
        </w:rPr>
        <w:t>Q.</w:t>
      </w:r>
      <w:r w:rsidRPr="00E77A0E">
        <w:rPr>
          <w:b/>
          <w:sz w:val="24"/>
          <w:szCs w:val="24"/>
        </w:rPr>
        <w:tab/>
        <w:t>What is the difference between a 4CP rate design and an NCP rate design?</w:t>
      </w:r>
    </w:p>
    <w:p w:rsidR="00E77A0E" w:rsidRDefault="00E77A0E" w:rsidP="009F7B4F">
      <w:pPr>
        <w:spacing w:line="480" w:lineRule="auto"/>
        <w:ind w:left="720" w:hanging="720"/>
        <w:jc w:val="both"/>
        <w:rPr>
          <w:sz w:val="24"/>
          <w:szCs w:val="24"/>
        </w:rPr>
      </w:pPr>
      <w:r w:rsidRPr="00E77A0E">
        <w:rPr>
          <w:sz w:val="24"/>
          <w:szCs w:val="24"/>
        </w:rPr>
        <w:t>A.</w:t>
      </w:r>
      <w:r w:rsidRPr="00E77A0E">
        <w:rPr>
          <w:sz w:val="24"/>
          <w:szCs w:val="24"/>
        </w:rPr>
        <w:tab/>
        <w:t>A 4CP rate design is a type of coincident peak rate design, and involves customers being charged based upon their load at the time</w:t>
      </w:r>
      <w:r>
        <w:rPr>
          <w:sz w:val="24"/>
          <w:szCs w:val="24"/>
        </w:rPr>
        <w:t>(s)</w:t>
      </w:r>
      <w:r w:rsidRPr="00E77A0E">
        <w:rPr>
          <w:sz w:val="24"/>
          <w:szCs w:val="24"/>
        </w:rPr>
        <w:t xml:space="preserve"> of the system peak</w:t>
      </w:r>
      <w:r w:rsidR="009A6CF5">
        <w:rPr>
          <w:sz w:val="24"/>
          <w:szCs w:val="24"/>
        </w:rPr>
        <w:t>(s)</w:t>
      </w:r>
      <w:r w:rsidRPr="00E77A0E">
        <w:rPr>
          <w:sz w:val="24"/>
          <w:szCs w:val="24"/>
        </w:rPr>
        <w:t xml:space="preserve">.  Under an NCP rate design, </w:t>
      </w:r>
      <w:r w:rsidR="00F06502" w:rsidRPr="00E77A0E">
        <w:rPr>
          <w:sz w:val="24"/>
          <w:szCs w:val="24"/>
        </w:rPr>
        <w:t xml:space="preserve">the </w:t>
      </w:r>
      <w:r w:rsidR="00F06502">
        <w:rPr>
          <w:sz w:val="24"/>
          <w:szCs w:val="24"/>
        </w:rPr>
        <w:t xml:space="preserve">customer’s </w:t>
      </w:r>
      <w:r w:rsidRPr="00E77A0E">
        <w:rPr>
          <w:sz w:val="24"/>
          <w:szCs w:val="24"/>
        </w:rPr>
        <w:t>billing demand is based upon the individual customer’s peak load, regardless of when that customer peak load occurs.  A customer might have an individual peak load of 1,000 kW, but only have an average load of 800 kW at the time of the four summer monthly system peaks.  Under an NCP rate design, such a customer would have a billing demand of 1,000 kW, while under a 4CP rate design the customer would have a billing demand of 800 kW.</w:t>
      </w:r>
    </w:p>
    <w:p w:rsidR="00E77A0E" w:rsidRDefault="00E77A0E" w:rsidP="00E77A0E">
      <w:pPr>
        <w:spacing w:line="480" w:lineRule="auto"/>
        <w:ind w:left="720" w:firstLine="720"/>
        <w:jc w:val="both"/>
        <w:rPr>
          <w:sz w:val="24"/>
          <w:szCs w:val="24"/>
        </w:rPr>
      </w:pPr>
      <w:r>
        <w:rPr>
          <w:sz w:val="24"/>
          <w:szCs w:val="24"/>
        </w:rPr>
        <w:t xml:space="preserve">A </w:t>
      </w:r>
      <w:r w:rsidR="00F06502">
        <w:rPr>
          <w:sz w:val="24"/>
          <w:szCs w:val="24"/>
        </w:rPr>
        <w:t>coincident peak</w:t>
      </w:r>
      <w:r w:rsidR="009F7B4F">
        <w:rPr>
          <w:sz w:val="24"/>
          <w:szCs w:val="24"/>
        </w:rPr>
        <w:t xml:space="preserve"> rate design provides a price signal to the customer to reduce its load at times when the customer anticipates a system peak might be established.  This incentive to reduce load at the time of the system peak, and the resulting load reductions, are what HEB and TCPA appear to be opposed to, and are what is addressed in the Hogan-Pope and the IMM reports.</w:t>
      </w:r>
    </w:p>
    <w:p w:rsidR="009F7B4F" w:rsidRPr="009F7B4F" w:rsidRDefault="009F7B4F" w:rsidP="00E77A0E">
      <w:pPr>
        <w:spacing w:line="480" w:lineRule="auto"/>
        <w:ind w:left="720" w:firstLine="720"/>
        <w:jc w:val="both"/>
        <w:rPr>
          <w:sz w:val="24"/>
          <w:szCs w:val="24"/>
        </w:rPr>
      </w:pPr>
      <w:r>
        <w:rPr>
          <w:sz w:val="24"/>
          <w:szCs w:val="24"/>
        </w:rPr>
        <w:t>For TDUs in the ERCOT region, the Commission has adopted</w:t>
      </w:r>
      <w:r w:rsidR="00E77A0E" w:rsidRPr="00E77A0E">
        <w:rPr>
          <w:sz w:val="24"/>
          <w:szCs w:val="24"/>
        </w:rPr>
        <w:t xml:space="preserve"> </w:t>
      </w:r>
      <w:r w:rsidR="00E77A0E">
        <w:rPr>
          <w:sz w:val="24"/>
          <w:szCs w:val="24"/>
        </w:rPr>
        <w:t>a 4CP rate design for customers with interval data recording meters</w:t>
      </w:r>
      <w:r>
        <w:rPr>
          <w:sz w:val="24"/>
          <w:szCs w:val="24"/>
        </w:rPr>
        <w:t xml:space="preserve"> as standard for </w:t>
      </w:r>
      <w:r w:rsidRPr="009F7B4F">
        <w:rPr>
          <w:i/>
          <w:sz w:val="24"/>
          <w:szCs w:val="24"/>
        </w:rPr>
        <w:t>retail transmission service</w:t>
      </w:r>
      <w:r>
        <w:rPr>
          <w:sz w:val="24"/>
          <w:szCs w:val="24"/>
        </w:rPr>
        <w:t xml:space="preserve">.  This variation on coincident peak rate design </w:t>
      </w:r>
      <w:r w:rsidR="00E77A0E">
        <w:rPr>
          <w:sz w:val="24"/>
          <w:szCs w:val="24"/>
        </w:rPr>
        <w:t>uses the average of the customer’s load at the time of the four summer monthly system peaks.</w:t>
      </w:r>
      <w:r>
        <w:rPr>
          <w:sz w:val="24"/>
          <w:szCs w:val="24"/>
        </w:rPr>
        <w:t xml:space="preserve">  The Commission-approved standard</w:t>
      </w:r>
      <w:r w:rsidR="00E77A0E">
        <w:rPr>
          <w:sz w:val="24"/>
          <w:szCs w:val="24"/>
        </w:rPr>
        <w:t xml:space="preserve"> rate design</w:t>
      </w:r>
      <w:r>
        <w:rPr>
          <w:sz w:val="24"/>
          <w:szCs w:val="24"/>
        </w:rPr>
        <w:t xml:space="preserve"> for </w:t>
      </w:r>
      <w:r>
        <w:rPr>
          <w:i/>
          <w:sz w:val="24"/>
          <w:szCs w:val="24"/>
        </w:rPr>
        <w:t>retail distribution service</w:t>
      </w:r>
      <w:r>
        <w:rPr>
          <w:sz w:val="24"/>
          <w:szCs w:val="24"/>
        </w:rPr>
        <w:t xml:space="preserve"> is an NCP rate design.</w:t>
      </w:r>
    </w:p>
    <w:p w:rsidR="000177D0" w:rsidRDefault="000177D0" w:rsidP="003B6968">
      <w:pPr>
        <w:spacing w:line="480" w:lineRule="auto"/>
        <w:ind w:left="720" w:hanging="720"/>
        <w:jc w:val="both"/>
        <w:rPr>
          <w:b/>
          <w:sz w:val="24"/>
          <w:szCs w:val="24"/>
        </w:rPr>
      </w:pPr>
      <w:r>
        <w:rPr>
          <w:b/>
          <w:sz w:val="24"/>
          <w:szCs w:val="24"/>
        </w:rPr>
        <w:t>Q.</w:t>
      </w:r>
      <w:r>
        <w:rPr>
          <w:b/>
          <w:sz w:val="24"/>
          <w:szCs w:val="24"/>
        </w:rPr>
        <w:tab/>
        <w:t>Why is it important to distinguish between 4CP allocation issues and 4CP rate design issues?</w:t>
      </w:r>
    </w:p>
    <w:p w:rsidR="008406A2" w:rsidRDefault="000177D0" w:rsidP="008406A2">
      <w:pPr>
        <w:spacing w:line="480" w:lineRule="auto"/>
        <w:ind w:left="720" w:hanging="720"/>
        <w:jc w:val="both"/>
        <w:rPr>
          <w:sz w:val="24"/>
          <w:szCs w:val="24"/>
        </w:rPr>
      </w:pPr>
      <w:r>
        <w:rPr>
          <w:sz w:val="24"/>
          <w:szCs w:val="24"/>
        </w:rPr>
        <w:t>A.</w:t>
      </w:r>
      <w:r>
        <w:rPr>
          <w:sz w:val="24"/>
          <w:szCs w:val="24"/>
        </w:rPr>
        <w:tab/>
        <w:t>The “market impact”</w:t>
      </w:r>
      <w:r w:rsidR="00902A38">
        <w:rPr>
          <w:sz w:val="24"/>
          <w:szCs w:val="24"/>
        </w:rPr>
        <w:t xml:space="preserve"> and “cost shifting”</w:t>
      </w:r>
      <w:r>
        <w:rPr>
          <w:sz w:val="24"/>
          <w:szCs w:val="24"/>
        </w:rPr>
        <w:t xml:space="preserve"> concerns raised by HEB and TCPA</w:t>
      </w:r>
      <w:r w:rsidR="00E77A0E">
        <w:rPr>
          <w:sz w:val="24"/>
          <w:szCs w:val="24"/>
        </w:rPr>
        <w:t>, and included in the Hogan-Pope and IMM reports,</w:t>
      </w:r>
      <w:r>
        <w:rPr>
          <w:sz w:val="24"/>
          <w:szCs w:val="24"/>
        </w:rPr>
        <w:t xml:space="preserve"> are </w:t>
      </w:r>
      <w:r w:rsidR="00E77A0E">
        <w:rPr>
          <w:sz w:val="24"/>
          <w:szCs w:val="24"/>
        </w:rPr>
        <w:t xml:space="preserve">primarily </w:t>
      </w:r>
      <w:r>
        <w:rPr>
          <w:sz w:val="24"/>
          <w:szCs w:val="24"/>
        </w:rPr>
        <w:t xml:space="preserve">relevant to the potential for customers </w:t>
      </w:r>
      <w:r w:rsidR="00E77A0E">
        <w:rPr>
          <w:sz w:val="24"/>
          <w:szCs w:val="24"/>
        </w:rPr>
        <w:t xml:space="preserve">to reduce their load at the times of the system peaks, and </w:t>
      </w:r>
      <w:r w:rsidR="009A6CF5">
        <w:rPr>
          <w:sz w:val="24"/>
          <w:szCs w:val="24"/>
        </w:rPr>
        <w:t>are</w:t>
      </w:r>
      <w:r w:rsidR="00E77A0E">
        <w:rPr>
          <w:sz w:val="24"/>
          <w:szCs w:val="24"/>
        </w:rPr>
        <w:t xml:space="preserve"> therefore </w:t>
      </w:r>
      <w:r w:rsidR="00E77A0E" w:rsidRPr="00902A38">
        <w:rPr>
          <w:i/>
          <w:sz w:val="24"/>
          <w:szCs w:val="24"/>
        </w:rPr>
        <w:t>rate design</w:t>
      </w:r>
      <w:r w:rsidR="00E77A0E">
        <w:rPr>
          <w:sz w:val="24"/>
          <w:szCs w:val="24"/>
        </w:rPr>
        <w:t xml:space="preserve"> concern</w:t>
      </w:r>
      <w:r w:rsidR="009A6CF5">
        <w:rPr>
          <w:sz w:val="24"/>
          <w:szCs w:val="24"/>
        </w:rPr>
        <w:t>s</w:t>
      </w:r>
      <w:r w:rsidR="006E1665">
        <w:rPr>
          <w:sz w:val="24"/>
          <w:szCs w:val="24"/>
        </w:rPr>
        <w:t>.</w:t>
      </w:r>
      <w:r w:rsidR="00E77A0E">
        <w:rPr>
          <w:sz w:val="24"/>
          <w:szCs w:val="24"/>
        </w:rPr>
        <w:t xml:space="preserve">  While there is a link between cost allocation methodologies and customer incentives to reduce load, </w:t>
      </w:r>
      <w:r w:rsidR="00F06502">
        <w:rPr>
          <w:sz w:val="24"/>
          <w:szCs w:val="24"/>
        </w:rPr>
        <w:t>this</w:t>
      </w:r>
      <w:r w:rsidR="00E77A0E">
        <w:rPr>
          <w:sz w:val="24"/>
          <w:szCs w:val="24"/>
        </w:rPr>
        <w:t xml:space="preserve"> link is weaker and more indirect than the incentives faced due to the rate design.  If a customer reduces </w:t>
      </w:r>
      <w:r w:rsidR="000A5EE5">
        <w:rPr>
          <w:sz w:val="24"/>
          <w:szCs w:val="24"/>
        </w:rPr>
        <w:t>its</w:t>
      </w:r>
      <w:r w:rsidR="00E77A0E">
        <w:rPr>
          <w:sz w:val="24"/>
          <w:szCs w:val="24"/>
        </w:rPr>
        <w:t xml:space="preserve"> </w:t>
      </w:r>
      <w:r w:rsidR="00F06502">
        <w:rPr>
          <w:sz w:val="24"/>
          <w:szCs w:val="24"/>
        </w:rPr>
        <w:t>coincident peak</w:t>
      </w:r>
      <w:r w:rsidR="00E77A0E">
        <w:rPr>
          <w:sz w:val="24"/>
          <w:szCs w:val="24"/>
        </w:rPr>
        <w:t xml:space="preserve"> load during a Test Year then that will reduce the amount of costs allocated to the customer’s class</w:t>
      </w:r>
      <w:r w:rsidR="008406A2">
        <w:rPr>
          <w:sz w:val="24"/>
          <w:szCs w:val="24"/>
        </w:rPr>
        <w:t xml:space="preserve"> under a </w:t>
      </w:r>
      <w:r w:rsidR="00F06502">
        <w:rPr>
          <w:sz w:val="24"/>
          <w:szCs w:val="24"/>
        </w:rPr>
        <w:t>coincident peak</w:t>
      </w:r>
      <w:r w:rsidR="008406A2">
        <w:rPr>
          <w:sz w:val="24"/>
          <w:szCs w:val="24"/>
        </w:rPr>
        <w:t xml:space="preserve"> allocation factor in the subsequent rate proceeding</w:t>
      </w:r>
      <w:r w:rsidR="00E77A0E">
        <w:rPr>
          <w:sz w:val="24"/>
          <w:szCs w:val="24"/>
        </w:rPr>
        <w:t xml:space="preserve">, but that is a smaller and less direct </w:t>
      </w:r>
      <w:r w:rsidR="008406A2">
        <w:rPr>
          <w:sz w:val="24"/>
          <w:szCs w:val="24"/>
        </w:rPr>
        <w:t>reduction</w:t>
      </w:r>
      <w:r w:rsidR="00E77A0E">
        <w:rPr>
          <w:sz w:val="24"/>
          <w:szCs w:val="24"/>
        </w:rPr>
        <w:t xml:space="preserve"> than the reduction in the customer’s bill if </w:t>
      </w:r>
      <w:r w:rsidR="000A5EE5">
        <w:rPr>
          <w:sz w:val="24"/>
          <w:szCs w:val="24"/>
        </w:rPr>
        <w:t>the customer reduces its</w:t>
      </w:r>
      <w:r w:rsidR="00E77A0E">
        <w:rPr>
          <w:sz w:val="24"/>
          <w:szCs w:val="24"/>
        </w:rPr>
        <w:t xml:space="preserve"> </w:t>
      </w:r>
      <w:r w:rsidR="009524C6">
        <w:rPr>
          <w:sz w:val="24"/>
          <w:szCs w:val="24"/>
        </w:rPr>
        <w:t>coincident peak</w:t>
      </w:r>
      <w:r w:rsidR="00E77A0E">
        <w:rPr>
          <w:sz w:val="24"/>
          <w:szCs w:val="24"/>
        </w:rPr>
        <w:t xml:space="preserve"> load under a </w:t>
      </w:r>
      <w:r w:rsidR="009524C6">
        <w:rPr>
          <w:sz w:val="24"/>
          <w:szCs w:val="24"/>
        </w:rPr>
        <w:t>coincident peak</w:t>
      </w:r>
      <w:r w:rsidR="00E77A0E">
        <w:rPr>
          <w:sz w:val="24"/>
          <w:szCs w:val="24"/>
        </w:rPr>
        <w:t xml:space="preserve"> rate design, as doing the latter directly reduces </w:t>
      </w:r>
      <w:r w:rsidR="00B90D36">
        <w:rPr>
          <w:sz w:val="24"/>
          <w:szCs w:val="24"/>
        </w:rPr>
        <w:t>the customer’s</w:t>
      </w:r>
      <w:r w:rsidR="00E77A0E">
        <w:rPr>
          <w:sz w:val="24"/>
          <w:szCs w:val="24"/>
        </w:rPr>
        <w:t xml:space="preserve"> billing units and delivery charges.</w:t>
      </w:r>
      <w:r w:rsidR="008406A2">
        <w:rPr>
          <w:sz w:val="24"/>
          <w:szCs w:val="24"/>
        </w:rPr>
        <w:t xml:space="preserve">  In other words, if HEB</w:t>
      </w:r>
      <w:r w:rsidR="00B90D36">
        <w:rPr>
          <w:sz w:val="24"/>
          <w:szCs w:val="24"/>
        </w:rPr>
        <w:t>’s</w:t>
      </w:r>
      <w:r w:rsidR="008406A2">
        <w:rPr>
          <w:sz w:val="24"/>
          <w:szCs w:val="24"/>
        </w:rPr>
        <w:t xml:space="preserve"> and TCPA’s recommendations to change the </w:t>
      </w:r>
      <w:r w:rsidR="006E1665">
        <w:rPr>
          <w:sz w:val="24"/>
          <w:szCs w:val="24"/>
        </w:rPr>
        <w:t>4</w:t>
      </w:r>
      <w:r w:rsidR="008406A2">
        <w:rPr>
          <w:sz w:val="24"/>
          <w:szCs w:val="24"/>
        </w:rPr>
        <w:t xml:space="preserve">CP </w:t>
      </w:r>
      <w:r w:rsidR="008406A2">
        <w:rPr>
          <w:i/>
          <w:sz w:val="24"/>
          <w:szCs w:val="24"/>
        </w:rPr>
        <w:t xml:space="preserve">cost allocation factors </w:t>
      </w:r>
      <w:r w:rsidR="008406A2">
        <w:rPr>
          <w:sz w:val="24"/>
          <w:szCs w:val="24"/>
        </w:rPr>
        <w:t xml:space="preserve">to NCP </w:t>
      </w:r>
      <w:r w:rsidR="008406A2">
        <w:rPr>
          <w:i/>
          <w:sz w:val="24"/>
          <w:szCs w:val="24"/>
        </w:rPr>
        <w:t>cost allocation factors</w:t>
      </w:r>
      <w:r w:rsidR="008406A2">
        <w:rPr>
          <w:sz w:val="24"/>
          <w:szCs w:val="24"/>
        </w:rPr>
        <w:t xml:space="preserve"> is adopted, but certain customers still face 4CP </w:t>
      </w:r>
      <w:r w:rsidR="008406A2">
        <w:rPr>
          <w:i/>
          <w:sz w:val="24"/>
          <w:szCs w:val="24"/>
        </w:rPr>
        <w:t>rate designs</w:t>
      </w:r>
      <w:r w:rsidR="008406A2">
        <w:rPr>
          <w:sz w:val="24"/>
          <w:szCs w:val="24"/>
        </w:rPr>
        <w:t>, then those customers will still face the incentive to reduce load at the times of the system peaks</w:t>
      </w:r>
      <w:r w:rsidR="00902A38">
        <w:rPr>
          <w:sz w:val="24"/>
          <w:szCs w:val="24"/>
        </w:rPr>
        <w:t>, giving rise to the “market impact” and “cost shifting” issues complained of by HEB and TCPA</w:t>
      </w:r>
      <w:r w:rsidR="008406A2">
        <w:rPr>
          <w:sz w:val="24"/>
          <w:szCs w:val="24"/>
        </w:rPr>
        <w:t xml:space="preserve">.  Furthermore, there are requirements under PURA for a </w:t>
      </w:r>
      <w:r w:rsidR="009524C6">
        <w:rPr>
          <w:sz w:val="24"/>
          <w:szCs w:val="24"/>
        </w:rPr>
        <w:t>coincident peak</w:t>
      </w:r>
      <w:r w:rsidR="008406A2">
        <w:rPr>
          <w:sz w:val="24"/>
          <w:szCs w:val="24"/>
        </w:rPr>
        <w:t xml:space="preserve"> rate design with regards to wholesale transmission rates.</w:t>
      </w:r>
    </w:p>
    <w:p w:rsidR="008406A2" w:rsidRDefault="008406A2" w:rsidP="008406A2">
      <w:pPr>
        <w:spacing w:line="480" w:lineRule="auto"/>
        <w:ind w:left="720" w:hanging="720"/>
        <w:jc w:val="both"/>
        <w:rPr>
          <w:b/>
          <w:sz w:val="24"/>
          <w:szCs w:val="24"/>
        </w:rPr>
      </w:pPr>
      <w:r>
        <w:rPr>
          <w:b/>
          <w:sz w:val="24"/>
          <w:szCs w:val="24"/>
        </w:rPr>
        <w:t>Q.</w:t>
      </w:r>
      <w:r>
        <w:rPr>
          <w:b/>
          <w:sz w:val="24"/>
          <w:szCs w:val="24"/>
        </w:rPr>
        <w:tab/>
        <w:t>What is your recommendation in response to HEB</w:t>
      </w:r>
      <w:r w:rsidR="00B90D36">
        <w:rPr>
          <w:b/>
          <w:sz w:val="24"/>
          <w:szCs w:val="24"/>
        </w:rPr>
        <w:t>’s</w:t>
      </w:r>
      <w:r>
        <w:rPr>
          <w:b/>
          <w:sz w:val="24"/>
          <w:szCs w:val="24"/>
        </w:rPr>
        <w:t xml:space="preserve"> and TCPA’s proposals to reject 4CP allocation</w:t>
      </w:r>
      <w:r w:rsidR="009524C6">
        <w:rPr>
          <w:b/>
          <w:sz w:val="24"/>
          <w:szCs w:val="24"/>
        </w:rPr>
        <w:t xml:space="preserve"> factors</w:t>
      </w:r>
      <w:r>
        <w:rPr>
          <w:b/>
          <w:sz w:val="24"/>
          <w:szCs w:val="24"/>
        </w:rPr>
        <w:t xml:space="preserve"> and </w:t>
      </w:r>
      <w:r w:rsidR="009524C6">
        <w:rPr>
          <w:b/>
          <w:sz w:val="24"/>
          <w:szCs w:val="24"/>
        </w:rPr>
        <w:t xml:space="preserve">4CP </w:t>
      </w:r>
      <w:r>
        <w:rPr>
          <w:b/>
          <w:sz w:val="24"/>
          <w:szCs w:val="24"/>
        </w:rPr>
        <w:t>rate des</w:t>
      </w:r>
      <w:r w:rsidR="009524C6">
        <w:rPr>
          <w:b/>
          <w:sz w:val="24"/>
          <w:szCs w:val="24"/>
        </w:rPr>
        <w:t>igns in favor of NCP allocation factors</w:t>
      </w:r>
      <w:r>
        <w:rPr>
          <w:b/>
          <w:sz w:val="24"/>
          <w:szCs w:val="24"/>
        </w:rPr>
        <w:t xml:space="preserve"> and</w:t>
      </w:r>
      <w:r w:rsidR="009524C6">
        <w:rPr>
          <w:b/>
          <w:sz w:val="24"/>
          <w:szCs w:val="24"/>
        </w:rPr>
        <w:t xml:space="preserve"> NCP</w:t>
      </w:r>
      <w:r>
        <w:rPr>
          <w:b/>
          <w:sz w:val="24"/>
          <w:szCs w:val="24"/>
        </w:rPr>
        <w:t xml:space="preserve"> rate designs?</w:t>
      </w:r>
    </w:p>
    <w:p w:rsidR="008406A2" w:rsidRDefault="008406A2" w:rsidP="008406A2">
      <w:pPr>
        <w:spacing w:line="480" w:lineRule="auto"/>
        <w:ind w:left="720" w:hanging="720"/>
        <w:jc w:val="both"/>
        <w:rPr>
          <w:sz w:val="24"/>
          <w:szCs w:val="24"/>
        </w:rPr>
      </w:pPr>
      <w:r>
        <w:rPr>
          <w:sz w:val="24"/>
          <w:szCs w:val="24"/>
        </w:rPr>
        <w:t>A.</w:t>
      </w:r>
      <w:r>
        <w:rPr>
          <w:sz w:val="24"/>
          <w:szCs w:val="24"/>
        </w:rPr>
        <w:tab/>
        <w:t xml:space="preserve">HEB’s and TCPA’s proposals for NCP cost allocations and rate designs should be rejected insofar as they apply to </w:t>
      </w:r>
      <w:r>
        <w:rPr>
          <w:i/>
          <w:sz w:val="24"/>
          <w:szCs w:val="24"/>
        </w:rPr>
        <w:t xml:space="preserve">transmission </w:t>
      </w:r>
      <w:r>
        <w:rPr>
          <w:sz w:val="24"/>
          <w:szCs w:val="24"/>
        </w:rPr>
        <w:t xml:space="preserve">costs and charges.  A </w:t>
      </w:r>
      <w:r w:rsidR="009524C6">
        <w:rPr>
          <w:sz w:val="24"/>
          <w:szCs w:val="24"/>
        </w:rPr>
        <w:t>coincident peak</w:t>
      </w:r>
      <w:r>
        <w:rPr>
          <w:sz w:val="24"/>
          <w:szCs w:val="24"/>
        </w:rPr>
        <w:t xml:space="preserve"> allocation and rate design is appropriate for these transmission costs.  Regarding</w:t>
      </w:r>
      <w:r w:rsidR="00A4449E">
        <w:rPr>
          <w:sz w:val="24"/>
          <w:szCs w:val="24"/>
        </w:rPr>
        <w:t xml:space="preserve"> demand-related</w:t>
      </w:r>
      <w:r>
        <w:rPr>
          <w:sz w:val="24"/>
          <w:szCs w:val="24"/>
        </w:rPr>
        <w:t xml:space="preserve"> </w:t>
      </w:r>
      <w:r>
        <w:rPr>
          <w:i/>
          <w:sz w:val="24"/>
          <w:szCs w:val="24"/>
        </w:rPr>
        <w:t>distribution</w:t>
      </w:r>
      <w:r>
        <w:rPr>
          <w:sz w:val="24"/>
          <w:szCs w:val="24"/>
        </w:rPr>
        <w:t xml:space="preserve"> costs, HEB’s and TCPA’s proposals for NCP cost allocations and rate designs </w:t>
      </w:r>
      <w:r w:rsidR="00B90D36">
        <w:rPr>
          <w:sz w:val="24"/>
          <w:szCs w:val="24"/>
        </w:rPr>
        <w:t>are</w:t>
      </w:r>
      <w:r>
        <w:rPr>
          <w:sz w:val="24"/>
          <w:szCs w:val="24"/>
        </w:rPr>
        <w:t xml:space="preserve"> reasonable, and </w:t>
      </w:r>
      <w:r w:rsidR="00B90D36">
        <w:rPr>
          <w:sz w:val="24"/>
          <w:szCs w:val="24"/>
        </w:rPr>
        <w:t>are</w:t>
      </w:r>
      <w:r>
        <w:rPr>
          <w:sz w:val="24"/>
          <w:szCs w:val="24"/>
        </w:rPr>
        <w:t xml:space="preserve"> consistent with standard Commission practice.</w:t>
      </w:r>
      <w:r w:rsidR="00AE2F5D">
        <w:rPr>
          <w:sz w:val="24"/>
          <w:szCs w:val="24"/>
        </w:rPr>
        <w:t xml:space="preserve">  While Staff did not recommend rejecting CenterPoint’s proposed 4CP</w:t>
      </w:r>
      <w:r w:rsidR="00F36FA4">
        <w:rPr>
          <w:sz w:val="24"/>
          <w:szCs w:val="24"/>
        </w:rPr>
        <w:t xml:space="preserve"> allocation and rate design for </w:t>
      </w:r>
      <w:r w:rsidR="006E1665">
        <w:rPr>
          <w:sz w:val="24"/>
          <w:szCs w:val="24"/>
        </w:rPr>
        <w:t xml:space="preserve">demand-related </w:t>
      </w:r>
      <w:r w:rsidR="00F36FA4" w:rsidRPr="006E1665">
        <w:rPr>
          <w:sz w:val="24"/>
          <w:szCs w:val="24"/>
        </w:rPr>
        <w:t>distribution</w:t>
      </w:r>
      <w:r w:rsidR="00F36FA4">
        <w:rPr>
          <w:sz w:val="24"/>
          <w:szCs w:val="24"/>
        </w:rPr>
        <w:t xml:space="preserve"> costs, Staff is not opposed to HEB’s and TCPA’s proposed NCP allocation and rate design for </w:t>
      </w:r>
      <w:r w:rsidR="00A4449E">
        <w:rPr>
          <w:i/>
          <w:sz w:val="24"/>
          <w:szCs w:val="24"/>
        </w:rPr>
        <w:t xml:space="preserve">demand-related </w:t>
      </w:r>
      <w:r w:rsidR="00F36FA4" w:rsidRPr="00F36FA4">
        <w:rPr>
          <w:i/>
          <w:sz w:val="24"/>
          <w:szCs w:val="24"/>
        </w:rPr>
        <w:t>distribution</w:t>
      </w:r>
      <w:r w:rsidR="00F36FA4">
        <w:rPr>
          <w:sz w:val="24"/>
          <w:szCs w:val="24"/>
        </w:rPr>
        <w:t xml:space="preserve"> costs.</w:t>
      </w:r>
    </w:p>
    <w:p w:rsidR="00A4449E" w:rsidRPr="00A4449E" w:rsidRDefault="00A4449E" w:rsidP="00A4449E">
      <w:pPr>
        <w:pStyle w:val="Heading2"/>
        <w:ind w:left="0"/>
        <w:rPr>
          <w:u w:val="single"/>
        </w:rPr>
      </w:pPr>
      <w:bookmarkStart w:id="14" w:name="_Toc11826703"/>
      <w:r>
        <w:rPr>
          <w:u w:val="single"/>
        </w:rPr>
        <w:t>A 4CP Rate Design for Transmission Rates is Appropriate</w:t>
      </w:r>
      <w:bookmarkEnd w:id="14"/>
    </w:p>
    <w:p w:rsidR="008406A2" w:rsidRDefault="008406A2" w:rsidP="008406A2">
      <w:pPr>
        <w:spacing w:line="480" w:lineRule="auto"/>
        <w:ind w:left="720" w:hanging="720"/>
        <w:jc w:val="both"/>
        <w:rPr>
          <w:b/>
          <w:sz w:val="24"/>
          <w:szCs w:val="24"/>
        </w:rPr>
      </w:pPr>
      <w:r>
        <w:rPr>
          <w:b/>
          <w:sz w:val="24"/>
          <w:szCs w:val="24"/>
        </w:rPr>
        <w:t>Q.</w:t>
      </w:r>
      <w:r>
        <w:rPr>
          <w:b/>
          <w:sz w:val="24"/>
          <w:szCs w:val="24"/>
        </w:rPr>
        <w:tab/>
        <w:t xml:space="preserve">Why is a </w:t>
      </w:r>
      <w:r w:rsidR="009524C6">
        <w:rPr>
          <w:b/>
          <w:sz w:val="24"/>
          <w:szCs w:val="24"/>
        </w:rPr>
        <w:t>coincident peak</w:t>
      </w:r>
      <w:r>
        <w:rPr>
          <w:b/>
          <w:sz w:val="24"/>
          <w:szCs w:val="24"/>
        </w:rPr>
        <w:t xml:space="preserve"> rate design appropriate for transmission costs?</w:t>
      </w:r>
    </w:p>
    <w:p w:rsidR="008406A2" w:rsidRDefault="008406A2" w:rsidP="008406A2">
      <w:pPr>
        <w:spacing w:line="480" w:lineRule="auto"/>
        <w:ind w:left="720" w:hanging="720"/>
        <w:jc w:val="both"/>
        <w:rPr>
          <w:sz w:val="24"/>
          <w:szCs w:val="24"/>
        </w:rPr>
      </w:pPr>
      <w:r>
        <w:rPr>
          <w:sz w:val="24"/>
          <w:szCs w:val="24"/>
        </w:rPr>
        <w:t>A.</w:t>
      </w:r>
      <w:r>
        <w:rPr>
          <w:sz w:val="24"/>
          <w:szCs w:val="24"/>
        </w:rPr>
        <w:tab/>
        <w:t xml:space="preserve">The transmission system must be sized to meet the maximum load imposed upon it.  It is therefore customers’ load coincident with the system peak that is the primary driver of transmission system costs.  </w:t>
      </w:r>
      <w:r w:rsidR="009524C6">
        <w:rPr>
          <w:sz w:val="24"/>
          <w:szCs w:val="24"/>
        </w:rPr>
        <w:t>Coincident peak</w:t>
      </w:r>
      <w:r>
        <w:rPr>
          <w:sz w:val="24"/>
          <w:szCs w:val="24"/>
        </w:rPr>
        <w:t xml:space="preserve"> allocations and rate designs therefore best reflect cost causation when it comes to the transmission system costs.  PURA § 35.004(d) recognizes this, </w:t>
      </w:r>
      <w:r w:rsidR="00373EA8">
        <w:rPr>
          <w:sz w:val="24"/>
          <w:szCs w:val="24"/>
        </w:rPr>
        <w:t>and</w:t>
      </w:r>
      <w:r>
        <w:rPr>
          <w:sz w:val="24"/>
          <w:szCs w:val="24"/>
        </w:rPr>
        <w:t xml:space="preserve"> requires a </w:t>
      </w:r>
      <w:r w:rsidR="009524C6">
        <w:rPr>
          <w:sz w:val="24"/>
          <w:szCs w:val="24"/>
        </w:rPr>
        <w:t>coincident peak</w:t>
      </w:r>
      <w:r>
        <w:rPr>
          <w:sz w:val="24"/>
          <w:szCs w:val="24"/>
        </w:rPr>
        <w:t xml:space="preserve"> rate design for wholesale transmission cost recovery in the ERCOT region:</w:t>
      </w:r>
    </w:p>
    <w:p w:rsidR="00373EA8" w:rsidRPr="00373EA8" w:rsidRDefault="00373EA8" w:rsidP="00373EA8">
      <w:pPr>
        <w:ind w:left="1440" w:right="720" w:hanging="720"/>
        <w:jc w:val="both"/>
        <w:rPr>
          <w:sz w:val="24"/>
          <w:szCs w:val="24"/>
        </w:rPr>
      </w:pPr>
      <w:r>
        <w:rPr>
          <w:sz w:val="24"/>
          <w:szCs w:val="24"/>
        </w:rPr>
        <w:tab/>
        <w:t xml:space="preserve">The commission shall price wholesale transmission services within ERCOT based on the postage stamp method of pricing under which a transmission-owning utility’s rate is based on the … costs of transmission divided by the </w:t>
      </w:r>
      <w:r w:rsidRPr="00373EA8">
        <w:rPr>
          <w:sz w:val="24"/>
          <w:szCs w:val="24"/>
        </w:rPr>
        <w:t>total demand placed on the combined transmission systems of all such transmission-owning utilities within a power region.</w:t>
      </w:r>
    </w:p>
    <w:p w:rsidR="008116D0" w:rsidRPr="00373EA8" w:rsidRDefault="008406A2" w:rsidP="00373EA8">
      <w:pPr>
        <w:ind w:left="1440" w:right="720" w:hanging="720"/>
        <w:jc w:val="both"/>
        <w:rPr>
          <w:sz w:val="24"/>
          <w:szCs w:val="24"/>
        </w:rPr>
      </w:pPr>
      <w:r w:rsidRPr="00373EA8">
        <w:rPr>
          <w:sz w:val="24"/>
          <w:szCs w:val="24"/>
        </w:rPr>
        <w:t xml:space="preserve"> </w:t>
      </w:r>
    </w:p>
    <w:p w:rsidR="008116D0" w:rsidRPr="00373EA8" w:rsidRDefault="00373EA8" w:rsidP="002D6159">
      <w:pPr>
        <w:spacing w:line="480" w:lineRule="auto"/>
        <w:ind w:left="720" w:hanging="720"/>
        <w:jc w:val="both"/>
        <w:rPr>
          <w:sz w:val="24"/>
          <w:szCs w:val="24"/>
        </w:rPr>
      </w:pPr>
      <w:r>
        <w:rPr>
          <w:sz w:val="24"/>
          <w:szCs w:val="24"/>
        </w:rPr>
        <w:tab/>
        <w:t>In implementing this section of PURA, the Commission’s rule regarding transmission rates, 16 TAC § 25.192(b)(1), mandates a 4CP transmission rate design:</w:t>
      </w:r>
    </w:p>
    <w:p w:rsidR="008116D0" w:rsidRPr="00373EA8" w:rsidRDefault="00373EA8" w:rsidP="00373EA8">
      <w:pPr>
        <w:ind w:left="1440" w:right="720" w:hanging="720"/>
        <w:jc w:val="both"/>
        <w:rPr>
          <w:sz w:val="24"/>
          <w:szCs w:val="24"/>
        </w:rPr>
      </w:pPr>
      <w:r>
        <w:rPr>
          <w:sz w:val="24"/>
          <w:szCs w:val="24"/>
        </w:rPr>
        <w:tab/>
        <w:t>A TSP’s transmission rate shall be calculated as its commission-approved transmission cost of service divided by the average of ERCOT coincident peak demand for the months of June, July, August, and September (4CP)…  The monthly transmission service charge to be paid by each DSP is the product of each TSP’s monthly rate as specified in its tariff and the DSP’s previous year’s average of the 4CP demand that is coincident with the ERCOT 4CP.</w:t>
      </w:r>
    </w:p>
    <w:p w:rsidR="008116D0" w:rsidRPr="00C46773" w:rsidRDefault="008116D0" w:rsidP="00C46773">
      <w:pPr>
        <w:spacing w:line="480" w:lineRule="auto"/>
        <w:ind w:left="720" w:hanging="720"/>
        <w:jc w:val="both"/>
        <w:rPr>
          <w:sz w:val="24"/>
          <w:szCs w:val="24"/>
        </w:rPr>
      </w:pPr>
    </w:p>
    <w:p w:rsidR="00947229" w:rsidRDefault="00947229" w:rsidP="00C46773">
      <w:pPr>
        <w:spacing w:line="480" w:lineRule="auto"/>
        <w:ind w:left="720" w:hanging="720"/>
        <w:jc w:val="both"/>
        <w:rPr>
          <w:b/>
          <w:sz w:val="24"/>
          <w:szCs w:val="24"/>
        </w:rPr>
      </w:pPr>
      <w:r>
        <w:rPr>
          <w:b/>
          <w:sz w:val="24"/>
          <w:szCs w:val="24"/>
        </w:rPr>
        <w:t>Q.</w:t>
      </w:r>
      <w:r>
        <w:rPr>
          <w:b/>
          <w:sz w:val="24"/>
          <w:szCs w:val="24"/>
        </w:rPr>
        <w:tab/>
        <w:t>Is there inappropriate “cost-shifting” caused by 4CP retail transmission rate design?</w:t>
      </w:r>
    </w:p>
    <w:p w:rsidR="00041DC7" w:rsidRDefault="00947229" w:rsidP="00C46773">
      <w:pPr>
        <w:spacing w:line="480" w:lineRule="auto"/>
        <w:ind w:left="720" w:hanging="720"/>
        <w:jc w:val="both"/>
        <w:rPr>
          <w:sz w:val="24"/>
          <w:szCs w:val="24"/>
        </w:rPr>
      </w:pPr>
      <w:r>
        <w:rPr>
          <w:sz w:val="24"/>
          <w:szCs w:val="24"/>
        </w:rPr>
        <w:t>A.</w:t>
      </w:r>
      <w:r>
        <w:rPr>
          <w:sz w:val="24"/>
          <w:szCs w:val="24"/>
        </w:rPr>
        <w:tab/>
        <w:t>No.  HEB and TCPA appear to suggest that the 4CP rate design for retail transmission, by encouraging load reductions around the system peaks, leads to inappropriate cost-shifting.  Mr. Presses states “</w:t>
      </w:r>
      <w:r w:rsidR="00041DC7">
        <w:rPr>
          <w:sz w:val="24"/>
          <w:szCs w:val="24"/>
        </w:rPr>
        <w:t>the customers that can avoid the cost, will avoid the cost, shifting the remaining class costs to other customers in that class.”</w:t>
      </w:r>
      <w:r w:rsidR="00041DC7">
        <w:rPr>
          <w:rStyle w:val="FootnoteReference"/>
          <w:sz w:val="24"/>
          <w:szCs w:val="24"/>
        </w:rPr>
        <w:footnoteReference w:id="50"/>
      </w:r>
      <w:r w:rsidR="00041DC7">
        <w:rPr>
          <w:sz w:val="24"/>
          <w:szCs w:val="24"/>
        </w:rPr>
        <w:t xml:space="preserve">  TCPA, citing the Hogan-Pope Report, states that demand reductions during peak periods “provides no costs savings to the market on a net basis, but rather reallocates costs to other customers.”</w:t>
      </w:r>
      <w:r w:rsidR="00041DC7">
        <w:rPr>
          <w:rStyle w:val="FootnoteReference"/>
          <w:sz w:val="24"/>
          <w:szCs w:val="24"/>
        </w:rPr>
        <w:footnoteReference w:id="51"/>
      </w:r>
      <w:r w:rsidR="00041DC7">
        <w:rPr>
          <w:sz w:val="24"/>
          <w:szCs w:val="24"/>
        </w:rPr>
        <w:t xml:space="preserve"> These statements are incorrect.</w:t>
      </w:r>
    </w:p>
    <w:p w:rsidR="00947229" w:rsidRDefault="00041DC7" w:rsidP="00041DC7">
      <w:pPr>
        <w:spacing w:line="480" w:lineRule="auto"/>
        <w:ind w:left="720" w:firstLine="720"/>
        <w:jc w:val="both"/>
        <w:rPr>
          <w:sz w:val="24"/>
          <w:szCs w:val="24"/>
        </w:rPr>
      </w:pPr>
      <w:r>
        <w:rPr>
          <w:sz w:val="24"/>
          <w:szCs w:val="24"/>
        </w:rPr>
        <w:t xml:space="preserve">As mentioned previously, at the system level, higher peak demands on the transmission system are the primary drivers of the size, and therefore cost, of the transmission system.  Load reductions at the times of the system peaks, as encouraged by </w:t>
      </w:r>
      <w:r w:rsidR="009524C6">
        <w:rPr>
          <w:sz w:val="24"/>
          <w:szCs w:val="24"/>
        </w:rPr>
        <w:t>coincident peak</w:t>
      </w:r>
      <w:r>
        <w:rPr>
          <w:sz w:val="24"/>
          <w:szCs w:val="24"/>
        </w:rPr>
        <w:t xml:space="preserve"> rate designs, therefore reduce the incurrence of transmission costs for the whole system below what they otherwise would be.  As TCPA notes, the IMM Report estimates that as much as 1,500 MW of load pursues reductions during CP intervals.</w:t>
      </w:r>
      <w:r>
        <w:rPr>
          <w:rStyle w:val="FootnoteReference"/>
          <w:sz w:val="24"/>
          <w:szCs w:val="24"/>
        </w:rPr>
        <w:footnoteReference w:id="52"/>
      </w:r>
      <w:r>
        <w:rPr>
          <w:sz w:val="24"/>
          <w:szCs w:val="24"/>
        </w:rPr>
        <w:t xml:space="preserve">  Without these load reductions, more transmission </w:t>
      </w:r>
      <w:r w:rsidR="009524C6">
        <w:rPr>
          <w:sz w:val="24"/>
          <w:szCs w:val="24"/>
        </w:rPr>
        <w:t xml:space="preserve">system </w:t>
      </w:r>
      <w:r>
        <w:rPr>
          <w:sz w:val="24"/>
          <w:szCs w:val="24"/>
        </w:rPr>
        <w:t>costs would be incurred</w:t>
      </w:r>
      <w:r w:rsidR="009524C6">
        <w:rPr>
          <w:sz w:val="24"/>
          <w:szCs w:val="24"/>
        </w:rPr>
        <w:t xml:space="preserve"> overall</w:t>
      </w:r>
      <w:r>
        <w:rPr>
          <w:sz w:val="24"/>
          <w:szCs w:val="24"/>
        </w:rPr>
        <w:t>.</w:t>
      </w:r>
    </w:p>
    <w:p w:rsidR="00041DC7" w:rsidRDefault="00041DC7" w:rsidP="00041DC7">
      <w:pPr>
        <w:spacing w:line="480" w:lineRule="auto"/>
        <w:ind w:left="720" w:firstLine="720"/>
        <w:jc w:val="both"/>
        <w:rPr>
          <w:sz w:val="24"/>
          <w:szCs w:val="24"/>
        </w:rPr>
      </w:pPr>
      <w:r>
        <w:rPr>
          <w:sz w:val="24"/>
          <w:szCs w:val="24"/>
        </w:rPr>
        <w:t>Below the system level, at the level of CenterPoint as a DSP, HEB</w:t>
      </w:r>
      <w:r w:rsidR="00B90D36">
        <w:rPr>
          <w:sz w:val="24"/>
          <w:szCs w:val="24"/>
        </w:rPr>
        <w:t>’s</w:t>
      </w:r>
      <w:r>
        <w:rPr>
          <w:sz w:val="24"/>
          <w:szCs w:val="24"/>
        </w:rPr>
        <w:t xml:space="preserve"> and TCPA’s cost-shifting arguments are without merit</w:t>
      </w:r>
      <w:r w:rsidR="00AD55B7">
        <w:rPr>
          <w:sz w:val="24"/>
          <w:szCs w:val="24"/>
        </w:rPr>
        <w:t xml:space="preserve"> insofar as </w:t>
      </w:r>
      <w:r w:rsidR="00AD55B7" w:rsidRPr="00AD55B7">
        <w:rPr>
          <w:i/>
          <w:sz w:val="24"/>
          <w:szCs w:val="24"/>
        </w:rPr>
        <w:t>transmission</w:t>
      </w:r>
      <w:r w:rsidR="00AD55B7">
        <w:rPr>
          <w:sz w:val="24"/>
          <w:szCs w:val="24"/>
        </w:rPr>
        <w:t xml:space="preserve"> costs are concerned, as </w:t>
      </w:r>
      <w:r w:rsidR="009524C6">
        <w:rPr>
          <w:sz w:val="24"/>
          <w:szCs w:val="24"/>
        </w:rPr>
        <w:t>their arguments</w:t>
      </w:r>
      <w:r w:rsidR="00AD55B7">
        <w:rPr>
          <w:sz w:val="24"/>
          <w:szCs w:val="24"/>
        </w:rPr>
        <w:t xml:space="preserve"> fail to reflect how transmission rates are charged within ERCOT</w:t>
      </w:r>
      <w:r>
        <w:rPr>
          <w:sz w:val="24"/>
          <w:szCs w:val="24"/>
        </w:rPr>
        <w:t xml:space="preserve">.  </w:t>
      </w:r>
      <w:r w:rsidR="00AD55B7">
        <w:rPr>
          <w:sz w:val="24"/>
          <w:szCs w:val="24"/>
        </w:rPr>
        <w:t xml:space="preserve">PURA § 35.004(d) and 16 TAC § 25.192(b)(1) require that CenterPoint be charged wholesale transmission charges based on the Company’s 4CP demand.  Therefore, if a customer with a 4CP rate design reduces </w:t>
      </w:r>
      <w:r w:rsidR="00B90D36">
        <w:rPr>
          <w:sz w:val="24"/>
          <w:szCs w:val="24"/>
        </w:rPr>
        <w:t>its</w:t>
      </w:r>
      <w:r w:rsidR="00CE1E87">
        <w:rPr>
          <w:sz w:val="24"/>
          <w:szCs w:val="24"/>
        </w:rPr>
        <w:t xml:space="preserve"> 4CP load, the</w:t>
      </w:r>
      <w:r w:rsidR="00AD55B7">
        <w:rPr>
          <w:sz w:val="24"/>
          <w:szCs w:val="24"/>
        </w:rPr>
        <w:t xml:space="preserve"> </w:t>
      </w:r>
      <w:r w:rsidR="009524C6">
        <w:rPr>
          <w:sz w:val="24"/>
          <w:szCs w:val="24"/>
        </w:rPr>
        <w:t xml:space="preserve">customer’s </w:t>
      </w:r>
      <w:r w:rsidR="00AD55B7">
        <w:rPr>
          <w:sz w:val="24"/>
          <w:szCs w:val="24"/>
        </w:rPr>
        <w:t xml:space="preserve">load reduction directly results in CenterPoint being charged less for wholesale transmission service – costs are </w:t>
      </w:r>
      <w:r w:rsidR="00AD55B7">
        <w:rPr>
          <w:i/>
          <w:sz w:val="24"/>
          <w:szCs w:val="24"/>
        </w:rPr>
        <w:t>avoided</w:t>
      </w:r>
      <w:r w:rsidR="006072EA">
        <w:rPr>
          <w:sz w:val="24"/>
          <w:szCs w:val="24"/>
        </w:rPr>
        <w:t xml:space="preserve"> for CenterPoint</w:t>
      </w:r>
      <w:r w:rsidR="001302AC">
        <w:rPr>
          <w:sz w:val="24"/>
          <w:szCs w:val="24"/>
        </w:rPr>
        <w:t>.  These wholesale transmission charges</w:t>
      </w:r>
      <w:r w:rsidR="009524C6">
        <w:rPr>
          <w:sz w:val="24"/>
          <w:szCs w:val="24"/>
        </w:rPr>
        <w:t xml:space="preserve"> to CenterPoint</w:t>
      </w:r>
      <w:r w:rsidR="001302AC">
        <w:rPr>
          <w:sz w:val="24"/>
          <w:szCs w:val="24"/>
        </w:rPr>
        <w:t xml:space="preserve"> are passed on to customers via base rates and TCRF rates.  Since the TCRF allocation factors are typically fixed between rate cases, any reduction in CenterPoint’s 4CP load caused by incremental 4CP customer load reductions accrues to the benefit of all of CenterPoint’s customers – because absent the 4CP customer’s load reductions, more transmission costs would be allocated to each rate class under the TCRF.</w:t>
      </w:r>
    </w:p>
    <w:p w:rsidR="001302AC" w:rsidRPr="00947229" w:rsidRDefault="001302AC" w:rsidP="00041DC7">
      <w:pPr>
        <w:spacing w:line="480" w:lineRule="auto"/>
        <w:ind w:left="720" w:firstLine="720"/>
        <w:jc w:val="both"/>
        <w:rPr>
          <w:sz w:val="24"/>
          <w:szCs w:val="24"/>
        </w:rPr>
      </w:pPr>
      <w:r>
        <w:rPr>
          <w:sz w:val="24"/>
          <w:szCs w:val="24"/>
        </w:rPr>
        <w:t xml:space="preserve">Thus, when it comes to a 4CP rate design for </w:t>
      </w:r>
      <w:r>
        <w:rPr>
          <w:i/>
          <w:sz w:val="24"/>
          <w:szCs w:val="24"/>
        </w:rPr>
        <w:t xml:space="preserve">retail transmission </w:t>
      </w:r>
      <w:r>
        <w:rPr>
          <w:sz w:val="24"/>
          <w:szCs w:val="24"/>
        </w:rPr>
        <w:t>rates, cost-shifting is not a legitimate concern, as peak load reductions</w:t>
      </w:r>
      <w:r w:rsidR="000E5E51">
        <w:rPr>
          <w:sz w:val="24"/>
          <w:szCs w:val="24"/>
        </w:rPr>
        <w:t xml:space="preserve"> induced by the 4CP rate design</w:t>
      </w:r>
      <w:r>
        <w:rPr>
          <w:sz w:val="24"/>
          <w:szCs w:val="24"/>
        </w:rPr>
        <w:t xml:space="preserve"> are associated with lower transmission costs at both the </w:t>
      </w:r>
      <w:r w:rsidR="000E5E51">
        <w:rPr>
          <w:sz w:val="24"/>
          <w:szCs w:val="24"/>
        </w:rPr>
        <w:t xml:space="preserve">ERCOT system level, the CenterPoint system level, and at the retail customer level.  This alignment of incentives with cost causation is </w:t>
      </w:r>
      <w:r w:rsidR="006072EA">
        <w:rPr>
          <w:sz w:val="24"/>
          <w:szCs w:val="24"/>
        </w:rPr>
        <w:t>presumably the reason</w:t>
      </w:r>
      <w:r w:rsidR="000E5E51">
        <w:rPr>
          <w:sz w:val="24"/>
          <w:szCs w:val="24"/>
        </w:rPr>
        <w:t xml:space="preserve"> the Commission approved the 4CP transmission rate design for customers with interval data recording meters as the standard </w:t>
      </w:r>
      <w:r w:rsidR="009524C6">
        <w:rPr>
          <w:sz w:val="24"/>
          <w:szCs w:val="24"/>
        </w:rPr>
        <w:t xml:space="preserve">retail </w:t>
      </w:r>
      <w:r w:rsidR="000E5E51">
        <w:rPr>
          <w:sz w:val="24"/>
          <w:szCs w:val="24"/>
        </w:rPr>
        <w:t>transmission rate design for ERCOT TDUs.</w:t>
      </w:r>
    </w:p>
    <w:p w:rsidR="00C46773" w:rsidRPr="00C46773" w:rsidRDefault="00C46773" w:rsidP="00C46773">
      <w:pPr>
        <w:spacing w:line="480" w:lineRule="auto"/>
        <w:ind w:left="720" w:hanging="720"/>
        <w:jc w:val="both"/>
        <w:rPr>
          <w:b/>
          <w:sz w:val="24"/>
          <w:szCs w:val="24"/>
        </w:rPr>
      </w:pPr>
      <w:r w:rsidRPr="00C46773">
        <w:rPr>
          <w:b/>
          <w:sz w:val="24"/>
          <w:szCs w:val="24"/>
        </w:rPr>
        <w:t>Q.</w:t>
      </w:r>
      <w:r w:rsidRPr="00C46773">
        <w:rPr>
          <w:b/>
          <w:sz w:val="24"/>
          <w:szCs w:val="24"/>
        </w:rPr>
        <w:tab/>
        <w:t xml:space="preserve">What is the Commission precedent regarding the proper TDU rate design for </w:t>
      </w:r>
      <w:r w:rsidR="000E5E51">
        <w:rPr>
          <w:b/>
          <w:sz w:val="24"/>
          <w:szCs w:val="24"/>
        </w:rPr>
        <w:t xml:space="preserve">Transmission System Charges and </w:t>
      </w:r>
      <w:r w:rsidRPr="00C46773">
        <w:rPr>
          <w:b/>
          <w:sz w:val="24"/>
          <w:szCs w:val="24"/>
        </w:rPr>
        <w:t>Distribution System Charges?</w:t>
      </w:r>
    </w:p>
    <w:p w:rsidR="00C46773" w:rsidRPr="00C46773" w:rsidRDefault="00C46773" w:rsidP="00C46773">
      <w:pPr>
        <w:spacing w:line="480" w:lineRule="auto"/>
        <w:ind w:left="720" w:hanging="720"/>
        <w:jc w:val="both"/>
        <w:rPr>
          <w:b/>
          <w:sz w:val="24"/>
          <w:szCs w:val="24"/>
        </w:rPr>
      </w:pPr>
      <w:r w:rsidRPr="00C46773">
        <w:rPr>
          <w:sz w:val="24"/>
          <w:szCs w:val="24"/>
        </w:rPr>
        <w:t>A.</w:t>
      </w:r>
      <w:r w:rsidRPr="00C46773">
        <w:rPr>
          <w:sz w:val="24"/>
          <w:szCs w:val="24"/>
        </w:rPr>
        <w:tab/>
        <w:t>During the initial unbundling of utilities accompanying the transition to a competitive market, the Commission determined that “a uniform rate design and customer classification scheme is appropriate for the purpose of standardizing transmission and distribution rates in Texas.”</w:t>
      </w:r>
      <w:r w:rsidRPr="00C46773">
        <w:rPr>
          <w:rStyle w:val="FootnoteReference"/>
          <w:sz w:val="24"/>
          <w:szCs w:val="24"/>
        </w:rPr>
        <w:footnoteReference w:id="53"/>
      </w:r>
      <w:r w:rsidRPr="00C46773">
        <w:rPr>
          <w:sz w:val="24"/>
          <w:szCs w:val="24"/>
        </w:rPr>
        <w:t xml:space="preserve">  In establishing the uniform rate design, the Commission stated that “the primary principles to be considered in the design of transmission and distribution rates are cost causation, simplicity, and equity to customers within the given rate classes.”</w:t>
      </w:r>
      <w:r w:rsidRPr="00C46773">
        <w:rPr>
          <w:rStyle w:val="FootnoteReference"/>
          <w:sz w:val="24"/>
          <w:szCs w:val="24"/>
        </w:rPr>
        <w:footnoteReference w:id="54"/>
      </w:r>
      <w:r w:rsidRPr="00C46773">
        <w:rPr>
          <w:sz w:val="24"/>
          <w:szCs w:val="24"/>
        </w:rPr>
        <w:t xml:space="preserve">  The Commission also found that “uniform transmission and distribution rates help to ensure a more vibrant competitive electric market because the uniformity will facilitate entry by new competitors.  The Commission finds that such a generic rate design is appropriate, and therefore, shall be adopted by transmission and distribution utilities.”</w:t>
      </w:r>
      <w:r w:rsidRPr="00C46773">
        <w:rPr>
          <w:rStyle w:val="FootnoteReference"/>
          <w:sz w:val="24"/>
          <w:szCs w:val="24"/>
        </w:rPr>
        <w:footnoteReference w:id="55"/>
      </w:r>
    </w:p>
    <w:p w:rsidR="00C46773" w:rsidRDefault="00C46773" w:rsidP="00C46773">
      <w:pPr>
        <w:spacing w:line="480" w:lineRule="auto"/>
        <w:ind w:left="720" w:hanging="720"/>
        <w:jc w:val="both"/>
        <w:rPr>
          <w:sz w:val="24"/>
          <w:szCs w:val="24"/>
        </w:rPr>
      </w:pPr>
      <w:r w:rsidRPr="00C46773">
        <w:rPr>
          <w:sz w:val="24"/>
          <w:szCs w:val="24"/>
        </w:rPr>
        <w:tab/>
      </w:r>
      <w:r w:rsidRPr="00C46773">
        <w:rPr>
          <w:sz w:val="24"/>
          <w:szCs w:val="24"/>
        </w:rPr>
        <w:tab/>
        <w:t xml:space="preserve">Regarding </w:t>
      </w:r>
      <w:r w:rsidR="000D1EE1">
        <w:rPr>
          <w:sz w:val="24"/>
          <w:szCs w:val="24"/>
        </w:rPr>
        <w:t xml:space="preserve">retail </w:t>
      </w:r>
      <w:r w:rsidRPr="00C46773">
        <w:rPr>
          <w:sz w:val="24"/>
          <w:szCs w:val="24"/>
        </w:rPr>
        <w:t xml:space="preserve">delivery charges, the Commission </w:t>
      </w:r>
      <w:r>
        <w:rPr>
          <w:sz w:val="24"/>
          <w:szCs w:val="24"/>
        </w:rPr>
        <w:t xml:space="preserve">considered the concerns raised </w:t>
      </w:r>
      <w:r w:rsidR="000D1EE1">
        <w:rPr>
          <w:sz w:val="24"/>
          <w:szCs w:val="24"/>
        </w:rPr>
        <w:t xml:space="preserve">here </w:t>
      </w:r>
      <w:r>
        <w:rPr>
          <w:sz w:val="24"/>
          <w:szCs w:val="24"/>
        </w:rPr>
        <w:t>by HE</w:t>
      </w:r>
      <w:r w:rsidR="000D1EE1">
        <w:rPr>
          <w:sz w:val="24"/>
          <w:szCs w:val="24"/>
        </w:rPr>
        <w:t>B</w:t>
      </w:r>
      <w:r>
        <w:rPr>
          <w:sz w:val="24"/>
          <w:szCs w:val="24"/>
        </w:rPr>
        <w:t xml:space="preserve"> and TCPA regarding “gaming” of the 4CP</w:t>
      </w:r>
      <w:r w:rsidR="00AE2F5D">
        <w:rPr>
          <w:sz w:val="24"/>
          <w:szCs w:val="24"/>
        </w:rPr>
        <w:t xml:space="preserve"> transmission</w:t>
      </w:r>
      <w:r>
        <w:rPr>
          <w:sz w:val="24"/>
          <w:szCs w:val="24"/>
        </w:rPr>
        <w:t xml:space="preserve"> rate design, stating:</w:t>
      </w:r>
    </w:p>
    <w:p w:rsidR="00C46773" w:rsidRDefault="00C46773" w:rsidP="00C46773">
      <w:pPr>
        <w:ind w:left="1440" w:right="720" w:hanging="720"/>
        <w:jc w:val="both"/>
        <w:rPr>
          <w:sz w:val="24"/>
          <w:szCs w:val="24"/>
        </w:rPr>
      </w:pPr>
      <w:r>
        <w:rPr>
          <w:sz w:val="24"/>
          <w:szCs w:val="24"/>
        </w:rPr>
        <w:tab/>
        <w:t>Many of the parties propose that demand-metered classes should be billed based on the non-coincident peak (NCP) demand.  There was greater disparity among the parties as to the issue of whether IDR demand-metered locations should be given different billing treatment from non-IDR locations.  Parties opposing the use of a 4CP-billing determinant cited cost shifting and intraclass subsidies as the primary concerns.</w:t>
      </w:r>
    </w:p>
    <w:p w:rsidR="00C46773" w:rsidRPr="00C46773" w:rsidRDefault="00C46773" w:rsidP="00C46773">
      <w:pPr>
        <w:ind w:left="1440" w:right="720" w:firstLine="720"/>
        <w:jc w:val="both"/>
        <w:rPr>
          <w:sz w:val="24"/>
          <w:szCs w:val="24"/>
        </w:rPr>
      </w:pPr>
      <w:r>
        <w:rPr>
          <w:sz w:val="24"/>
          <w:szCs w:val="24"/>
        </w:rPr>
        <w:t>With respect to a facilities/delivery charge, the Commission finds that the NCP billing determinant should be used for non-IDR metered customers.  For those possessing IDR meter capabilities, the transmission per-kilowatt (kW) rate shall be billed according to the Commission’s relevant transmission rule, which currently mandates a four coincident peak (4CP) method.  In the event that “gaming” of the 4CP methodology becomes a problem, the advisability of broadening the relevant peak period may be examined at that time.  T</w:t>
      </w:r>
      <w:r w:rsidRPr="00C46773">
        <w:rPr>
          <w:sz w:val="24"/>
          <w:szCs w:val="24"/>
        </w:rPr>
        <w:t>he distribution facilities/delivery charge for IDR metered customers shall be billed on the NCP billing determinant.</w:t>
      </w:r>
      <w:r w:rsidRPr="00C46773">
        <w:rPr>
          <w:rStyle w:val="FootnoteReference"/>
          <w:sz w:val="24"/>
          <w:szCs w:val="24"/>
        </w:rPr>
        <w:footnoteReference w:id="56"/>
      </w:r>
      <w:r w:rsidRPr="00C46773">
        <w:rPr>
          <w:sz w:val="24"/>
          <w:szCs w:val="24"/>
        </w:rPr>
        <w:t xml:space="preserve">  </w:t>
      </w:r>
    </w:p>
    <w:p w:rsidR="008116D0" w:rsidRDefault="008116D0" w:rsidP="002D6159">
      <w:pPr>
        <w:spacing w:line="480" w:lineRule="auto"/>
        <w:ind w:left="720" w:hanging="720"/>
        <w:jc w:val="both"/>
        <w:rPr>
          <w:sz w:val="24"/>
          <w:szCs w:val="24"/>
        </w:rPr>
      </w:pPr>
    </w:p>
    <w:p w:rsidR="009524C6" w:rsidRDefault="00AE2F5D" w:rsidP="009524C6">
      <w:pPr>
        <w:spacing w:line="480" w:lineRule="auto"/>
        <w:ind w:left="720" w:hanging="720"/>
        <w:jc w:val="both"/>
        <w:rPr>
          <w:sz w:val="24"/>
          <w:szCs w:val="24"/>
        </w:rPr>
      </w:pPr>
      <w:r>
        <w:rPr>
          <w:sz w:val="24"/>
          <w:szCs w:val="24"/>
        </w:rPr>
        <w:tab/>
        <w:t>The Commission has clearly considered the issues raised by HEB and TCPA, and determined that 4CP rate design is appropriate for transmission rates.</w:t>
      </w:r>
      <w:r w:rsidR="006072EA">
        <w:rPr>
          <w:sz w:val="24"/>
          <w:szCs w:val="24"/>
        </w:rPr>
        <w:t xml:space="preserve">  The Commission has also determined that departing from the standard rate design, as HEB and TCPA recommend, would harm the competitive market.</w:t>
      </w:r>
      <w:r w:rsidR="009524C6">
        <w:rPr>
          <w:sz w:val="24"/>
          <w:szCs w:val="24"/>
        </w:rPr>
        <w:br w:type="page"/>
      </w:r>
    </w:p>
    <w:p w:rsidR="00A4449E" w:rsidRPr="00A4449E" w:rsidRDefault="00A4449E" w:rsidP="00A4449E">
      <w:pPr>
        <w:pStyle w:val="Heading2"/>
        <w:ind w:left="0"/>
        <w:rPr>
          <w:u w:val="single"/>
        </w:rPr>
      </w:pPr>
      <w:bookmarkStart w:id="15" w:name="_Toc11826704"/>
      <w:r>
        <w:rPr>
          <w:u w:val="single"/>
        </w:rPr>
        <w:t>A 4CP Allocation is Appropriate for Transmission Costs</w:t>
      </w:r>
      <w:bookmarkEnd w:id="15"/>
    </w:p>
    <w:p w:rsidR="008116D0" w:rsidRDefault="00A4449E" w:rsidP="002D6159">
      <w:pPr>
        <w:spacing w:line="480" w:lineRule="auto"/>
        <w:ind w:left="720" w:hanging="720"/>
        <w:jc w:val="both"/>
        <w:rPr>
          <w:b/>
          <w:sz w:val="24"/>
          <w:szCs w:val="24"/>
        </w:rPr>
      </w:pPr>
      <w:r>
        <w:rPr>
          <w:b/>
          <w:sz w:val="24"/>
          <w:szCs w:val="24"/>
        </w:rPr>
        <w:t>Q.</w:t>
      </w:r>
      <w:r>
        <w:rPr>
          <w:b/>
          <w:sz w:val="24"/>
          <w:szCs w:val="24"/>
        </w:rPr>
        <w:tab/>
        <w:t>Is CenterPoint’s proposed 4CP allocation for transmission costs reasonable and appropriate?</w:t>
      </w:r>
    </w:p>
    <w:p w:rsidR="00A4449E" w:rsidRPr="00ED2E36" w:rsidRDefault="00A4449E" w:rsidP="002D6159">
      <w:pPr>
        <w:spacing w:line="480" w:lineRule="auto"/>
        <w:ind w:left="720" w:hanging="720"/>
        <w:jc w:val="both"/>
        <w:rPr>
          <w:sz w:val="24"/>
          <w:szCs w:val="24"/>
        </w:rPr>
      </w:pPr>
      <w:r>
        <w:rPr>
          <w:sz w:val="24"/>
          <w:szCs w:val="24"/>
        </w:rPr>
        <w:t>A.</w:t>
      </w:r>
      <w:r>
        <w:rPr>
          <w:sz w:val="24"/>
          <w:szCs w:val="24"/>
        </w:rPr>
        <w:tab/>
      </w:r>
      <w:r w:rsidR="009524C6">
        <w:rPr>
          <w:sz w:val="24"/>
          <w:szCs w:val="24"/>
        </w:rPr>
        <w:t xml:space="preserve">Yes.  </w:t>
      </w:r>
      <w:r>
        <w:rPr>
          <w:sz w:val="24"/>
          <w:szCs w:val="24"/>
        </w:rPr>
        <w:t xml:space="preserve">The use of </w:t>
      </w:r>
      <w:r w:rsidR="00902A38">
        <w:rPr>
          <w:sz w:val="24"/>
          <w:szCs w:val="24"/>
        </w:rPr>
        <w:t>the</w:t>
      </w:r>
      <w:r>
        <w:rPr>
          <w:sz w:val="24"/>
          <w:szCs w:val="24"/>
        </w:rPr>
        <w:t xml:space="preserve"> ERCOT 4CP class allocator is reasonable and appropriate for transmission cost allocation</w:t>
      </w:r>
      <w:r w:rsidR="005E4EB4">
        <w:rPr>
          <w:sz w:val="24"/>
          <w:szCs w:val="24"/>
        </w:rPr>
        <w:t xml:space="preserve"> because it is consistent </w:t>
      </w:r>
      <w:r w:rsidR="006072EA">
        <w:rPr>
          <w:sz w:val="24"/>
          <w:szCs w:val="24"/>
        </w:rPr>
        <w:t xml:space="preserve">with </w:t>
      </w:r>
      <w:r w:rsidR="005E4EB4">
        <w:rPr>
          <w:sz w:val="24"/>
          <w:szCs w:val="24"/>
        </w:rPr>
        <w:t>cost causation as regards how CenterPoint incurs wholesale transmission expense</w:t>
      </w:r>
      <w:r>
        <w:rPr>
          <w:sz w:val="24"/>
          <w:szCs w:val="24"/>
        </w:rPr>
        <w:t xml:space="preserve">.  </w:t>
      </w:r>
      <w:r w:rsidR="009524C6">
        <w:rPr>
          <w:sz w:val="24"/>
          <w:szCs w:val="24"/>
        </w:rPr>
        <w:t>P</w:t>
      </w:r>
      <w:r>
        <w:rPr>
          <w:sz w:val="24"/>
          <w:szCs w:val="24"/>
        </w:rPr>
        <w:t>recedent and policy support for this approach was included in the direct testimony of Staff witness Brian Murphy.</w:t>
      </w:r>
      <w:r>
        <w:rPr>
          <w:rStyle w:val="FootnoteReference"/>
          <w:sz w:val="24"/>
          <w:szCs w:val="24"/>
        </w:rPr>
        <w:footnoteReference w:id="57"/>
      </w:r>
      <w:r w:rsidR="00ED2E36">
        <w:rPr>
          <w:sz w:val="24"/>
          <w:szCs w:val="24"/>
        </w:rPr>
        <w:t xml:space="preserve">  While Mr. Murphy’s direct testimony </w:t>
      </w:r>
      <w:r w:rsidR="00B90D36">
        <w:rPr>
          <w:sz w:val="24"/>
          <w:szCs w:val="24"/>
        </w:rPr>
        <w:t>is</w:t>
      </w:r>
      <w:r w:rsidR="00ED2E36">
        <w:rPr>
          <w:sz w:val="24"/>
          <w:szCs w:val="24"/>
        </w:rPr>
        <w:t xml:space="preserve"> in opposition to the Company’s proposal to use the </w:t>
      </w:r>
      <w:r w:rsidR="00ED2E36">
        <w:rPr>
          <w:i/>
          <w:sz w:val="24"/>
          <w:szCs w:val="24"/>
        </w:rPr>
        <w:t>CenterPoint system</w:t>
      </w:r>
      <w:r w:rsidR="00ED2E36">
        <w:rPr>
          <w:sz w:val="24"/>
          <w:szCs w:val="24"/>
        </w:rPr>
        <w:t xml:space="preserve"> 4CP in lieu of the </w:t>
      </w:r>
      <w:r w:rsidR="00ED2E36">
        <w:rPr>
          <w:i/>
          <w:sz w:val="24"/>
          <w:szCs w:val="24"/>
        </w:rPr>
        <w:t xml:space="preserve">ERCOT system </w:t>
      </w:r>
      <w:r w:rsidR="00ED2E36">
        <w:rPr>
          <w:sz w:val="24"/>
          <w:szCs w:val="24"/>
        </w:rPr>
        <w:t xml:space="preserve">4CP, the arguments provided by Mr. Murphy also apply to rejecting HEB’s and TCPA’s </w:t>
      </w:r>
      <w:r w:rsidR="006072EA">
        <w:rPr>
          <w:sz w:val="24"/>
          <w:szCs w:val="24"/>
        </w:rPr>
        <w:t>position</w:t>
      </w:r>
      <w:r w:rsidR="00ED2E36">
        <w:rPr>
          <w:sz w:val="24"/>
          <w:szCs w:val="24"/>
        </w:rPr>
        <w:t xml:space="preserve"> that transmission costs should be allocated by NCP instead of 4CP.</w:t>
      </w:r>
    </w:p>
    <w:p w:rsidR="008116D0" w:rsidRDefault="00ED2E36" w:rsidP="00ED2E36">
      <w:pPr>
        <w:pStyle w:val="Heading2"/>
        <w:ind w:left="0"/>
        <w:rPr>
          <w:u w:val="single"/>
        </w:rPr>
      </w:pPr>
      <w:bookmarkStart w:id="16" w:name="_Toc11826705"/>
      <w:r>
        <w:rPr>
          <w:u w:val="single"/>
        </w:rPr>
        <w:t>The Hogan-Pope and IMM Reports are Flawed</w:t>
      </w:r>
      <w:r w:rsidR="00CE1E87">
        <w:rPr>
          <w:u w:val="single"/>
        </w:rPr>
        <w:t xml:space="preserve"> with Regard to Transmission Rate Design</w:t>
      </w:r>
      <w:bookmarkEnd w:id="16"/>
    </w:p>
    <w:p w:rsidR="00CE1E87" w:rsidRDefault="00CE1E87" w:rsidP="00CE1E87">
      <w:pPr>
        <w:spacing w:line="480" w:lineRule="auto"/>
        <w:ind w:left="720" w:hanging="720"/>
        <w:jc w:val="both"/>
        <w:rPr>
          <w:b/>
          <w:sz w:val="24"/>
          <w:szCs w:val="24"/>
        </w:rPr>
      </w:pPr>
      <w:r>
        <w:rPr>
          <w:b/>
          <w:sz w:val="24"/>
          <w:szCs w:val="24"/>
        </w:rPr>
        <w:t>Q.</w:t>
      </w:r>
      <w:r>
        <w:rPr>
          <w:b/>
          <w:sz w:val="24"/>
          <w:szCs w:val="24"/>
        </w:rPr>
        <w:tab/>
        <w:t>What are the purposes of the Hogan-Pope report and the IMM report?</w:t>
      </w:r>
    </w:p>
    <w:p w:rsidR="00CE1E87" w:rsidRDefault="00CE1E87" w:rsidP="00CE1E87">
      <w:pPr>
        <w:spacing w:line="480" w:lineRule="auto"/>
        <w:ind w:left="720" w:hanging="720"/>
        <w:jc w:val="both"/>
        <w:rPr>
          <w:b/>
          <w:sz w:val="24"/>
          <w:szCs w:val="24"/>
        </w:rPr>
      </w:pPr>
      <w:r>
        <w:rPr>
          <w:sz w:val="24"/>
          <w:szCs w:val="24"/>
        </w:rPr>
        <w:t>A.</w:t>
      </w:r>
      <w:r>
        <w:rPr>
          <w:sz w:val="24"/>
          <w:szCs w:val="24"/>
        </w:rPr>
        <w:tab/>
        <w:t>These reports are primarily concerned with various wholesale electricity market issues, and the vast majority of their content is unrelated to regulated</w:t>
      </w:r>
      <w:r w:rsidR="009524C6">
        <w:rPr>
          <w:sz w:val="24"/>
          <w:szCs w:val="24"/>
        </w:rPr>
        <w:t xml:space="preserve"> utility</w:t>
      </w:r>
      <w:r>
        <w:rPr>
          <w:sz w:val="24"/>
          <w:szCs w:val="24"/>
        </w:rPr>
        <w:t xml:space="preserve"> rate design or the other issues in this proceeding.  The reports do include short discussions of 4CP rate design issues, as referenced by TCPA in its statement of position in support of HEB’s testimony.</w:t>
      </w:r>
    </w:p>
    <w:p w:rsidR="00185927" w:rsidRDefault="00185927" w:rsidP="005E4EB4">
      <w:pPr>
        <w:spacing w:line="480" w:lineRule="auto"/>
        <w:ind w:left="720" w:hanging="720"/>
        <w:jc w:val="both"/>
        <w:rPr>
          <w:b/>
          <w:sz w:val="24"/>
          <w:szCs w:val="24"/>
        </w:rPr>
      </w:pPr>
      <w:r>
        <w:rPr>
          <w:b/>
          <w:sz w:val="24"/>
          <w:szCs w:val="24"/>
        </w:rPr>
        <w:t>Q.</w:t>
      </w:r>
      <w:r>
        <w:rPr>
          <w:b/>
          <w:sz w:val="24"/>
          <w:szCs w:val="24"/>
        </w:rPr>
        <w:tab/>
        <w:t>Has the Commission discussed the transmission cost allocation suggestions included in the Hogan Pope report?</w:t>
      </w:r>
    </w:p>
    <w:p w:rsidR="00185927" w:rsidRDefault="00185927" w:rsidP="005E4EB4">
      <w:pPr>
        <w:spacing w:line="480" w:lineRule="auto"/>
        <w:ind w:left="720" w:hanging="720"/>
        <w:jc w:val="both"/>
        <w:rPr>
          <w:sz w:val="24"/>
          <w:szCs w:val="24"/>
        </w:rPr>
      </w:pPr>
      <w:r>
        <w:rPr>
          <w:sz w:val="24"/>
          <w:szCs w:val="24"/>
        </w:rPr>
        <w:t>A.</w:t>
      </w:r>
      <w:r>
        <w:rPr>
          <w:sz w:val="24"/>
          <w:szCs w:val="24"/>
        </w:rPr>
        <w:tab/>
        <w:t>Yes.  Shortly after the report was issued, the conflict between the report’s transmission ratemaking recommendations and PURA was discussed at the Commission:</w:t>
      </w:r>
    </w:p>
    <w:p w:rsidR="00185927" w:rsidRPr="009F028D" w:rsidRDefault="00185927" w:rsidP="00185927">
      <w:pPr>
        <w:pStyle w:val="PlainText"/>
        <w:rPr>
          <w:rFonts w:cs="Courier New"/>
        </w:rPr>
      </w:pPr>
      <w:r>
        <w:rPr>
          <w:sz w:val="24"/>
          <w:szCs w:val="24"/>
        </w:rPr>
        <w:tab/>
      </w:r>
    </w:p>
    <w:p w:rsidR="00185927" w:rsidRPr="009F028D" w:rsidRDefault="00185927" w:rsidP="00185927">
      <w:pPr>
        <w:pStyle w:val="PlainText"/>
        <w:rPr>
          <w:rFonts w:cs="Courier New"/>
        </w:rPr>
      </w:pPr>
      <w:r w:rsidRPr="009F028D">
        <w:rPr>
          <w:rFonts w:cs="Courier New"/>
        </w:rPr>
        <w:t xml:space="preserve">         17                 COMM. ANDERSON:  -- which takes us to Item</w:t>
      </w:r>
    </w:p>
    <w:p w:rsidR="00185927" w:rsidRPr="009F028D" w:rsidRDefault="00185927" w:rsidP="00185927">
      <w:pPr>
        <w:pStyle w:val="PlainText"/>
        <w:rPr>
          <w:rFonts w:cs="Courier New"/>
        </w:rPr>
      </w:pPr>
    </w:p>
    <w:p w:rsidR="00185927" w:rsidRPr="009F028D" w:rsidRDefault="00185927" w:rsidP="00185927">
      <w:pPr>
        <w:pStyle w:val="PlainText"/>
        <w:rPr>
          <w:rFonts w:cs="Courier New"/>
        </w:rPr>
      </w:pPr>
      <w:r w:rsidRPr="009F028D">
        <w:rPr>
          <w:rFonts w:cs="Courier New"/>
        </w:rPr>
        <w:t xml:space="preserve">         18   No. 18 that I would like to bring up an issue.</w:t>
      </w:r>
    </w:p>
    <w:p w:rsidR="00185927" w:rsidRPr="009F028D" w:rsidRDefault="00185927" w:rsidP="00185927">
      <w:pPr>
        <w:pStyle w:val="PlainText"/>
        <w:rPr>
          <w:rFonts w:cs="Courier New"/>
        </w:rPr>
      </w:pPr>
    </w:p>
    <w:p w:rsidR="00185927" w:rsidRPr="009F028D" w:rsidRDefault="00185927" w:rsidP="00185927">
      <w:pPr>
        <w:pStyle w:val="PlainText"/>
        <w:rPr>
          <w:rFonts w:cs="Courier New"/>
        </w:rPr>
      </w:pPr>
      <w:r w:rsidRPr="009F028D">
        <w:rPr>
          <w:rFonts w:cs="Courier New"/>
        </w:rPr>
        <w:t xml:space="preserve">         19                 On May 10th of this year there was filed</w:t>
      </w:r>
    </w:p>
    <w:p w:rsidR="00185927" w:rsidRPr="009F028D" w:rsidRDefault="00185927" w:rsidP="00185927">
      <w:pPr>
        <w:pStyle w:val="PlainText"/>
        <w:rPr>
          <w:rFonts w:cs="Courier New"/>
        </w:rPr>
      </w:pPr>
    </w:p>
    <w:p w:rsidR="00185927" w:rsidRPr="009F028D" w:rsidRDefault="00185927" w:rsidP="00185927">
      <w:pPr>
        <w:pStyle w:val="PlainText"/>
        <w:rPr>
          <w:rFonts w:cs="Courier New"/>
        </w:rPr>
      </w:pPr>
      <w:r w:rsidRPr="009F028D">
        <w:rPr>
          <w:rFonts w:cs="Courier New"/>
        </w:rPr>
        <w:t xml:space="preserve">         20   in a number of dockets by Calpine and NRG a report</w:t>
      </w:r>
    </w:p>
    <w:p w:rsidR="00185927" w:rsidRPr="009F028D" w:rsidRDefault="00185927" w:rsidP="00185927">
      <w:pPr>
        <w:pStyle w:val="PlainText"/>
        <w:rPr>
          <w:rFonts w:cs="Courier New"/>
        </w:rPr>
      </w:pPr>
    </w:p>
    <w:p w:rsidR="00185927" w:rsidRPr="009F028D" w:rsidRDefault="00185927" w:rsidP="00185927">
      <w:pPr>
        <w:pStyle w:val="PlainText"/>
        <w:rPr>
          <w:rFonts w:cs="Courier New"/>
        </w:rPr>
      </w:pPr>
      <w:r w:rsidRPr="009F028D">
        <w:rPr>
          <w:rFonts w:cs="Courier New"/>
        </w:rPr>
        <w:t xml:space="preserve">         21   entitled "Priorities for the Evolution of the</w:t>
      </w:r>
    </w:p>
    <w:p w:rsidR="00185927" w:rsidRPr="009F028D" w:rsidRDefault="00185927" w:rsidP="00185927">
      <w:pPr>
        <w:pStyle w:val="PlainText"/>
        <w:rPr>
          <w:rFonts w:cs="Courier New"/>
        </w:rPr>
      </w:pPr>
    </w:p>
    <w:p w:rsidR="00185927" w:rsidRPr="009F028D" w:rsidRDefault="00185927" w:rsidP="00185927">
      <w:pPr>
        <w:pStyle w:val="PlainText"/>
        <w:rPr>
          <w:rFonts w:cs="Courier New"/>
        </w:rPr>
      </w:pPr>
      <w:r w:rsidRPr="009F028D">
        <w:rPr>
          <w:rFonts w:cs="Courier New"/>
        </w:rPr>
        <w:t xml:space="preserve">         22   Energy-Only Electricity Design in ERCOT that was</w:t>
      </w:r>
    </w:p>
    <w:p w:rsidR="00185927" w:rsidRPr="009F028D" w:rsidRDefault="00185927" w:rsidP="00185927">
      <w:pPr>
        <w:pStyle w:val="PlainText"/>
        <w:rPr>
          <w:rFonts w:cs="Courier New"/>
        </w:rPr>
      </w:pPr>
    </w:p>
    <w:p w:rsidR="00185927" w:rsidRPr="009F028D" w:rsidRDefault="00185927" w:rsidP="00185927">
      <w:pPr>
        <w:pStyle w:val="PlainText"/>
        <w:rPr>
          <w:rFonts w:cs="Courier New"/>
        </w:rPr>
      </w:pPr>
      <w:r w:rsidRPr="009F028D">
        <w:rPr>
          <w:rFonts w:cs="Courier New"/>
        </w:rPr>
        <w:t xml:space="preserve">         23   prepared by Dr. William Hogan and Dr. Susan Pope of FTI</w:t>
      </w:r>
    </w:p>
    <w:p w:rsidR="00185927" w:rsidRPr="009F028D" w:rsidRDefault="00185927" w:rsidP="00185927">
      <w:pPr>
        <w:pStyle w:val="PlainText"/>
        <w:rPr>
          <w:rFonts w:cs="Courier New"/>
        </w:rPr>
      </w:pPr>
    </w:p>
    <w:p w:rsidR="00185927" w:rsidRDefault="00185927" w:rsidP="00185927">
      <w:pPr>
        <w:pStyle w:val="PlainText"/>
        <w:rPr>
          <w:rFonts w:cs="Courier New"/>
        </w:rPr>
      </w:pPr>
      <w:r w:rsidRPr="009F028D">
        <w:rPr>
          <w:rFonts w:cs="Courier New"/>
        </w:rPr>
        <w:t xml:space="preserve">         24   Consulting.</w:t>
      </w:r>
    </w:p>
    <w:p w:rsidR="00185927" w:rsidRDefault="00185927" w:rsidP="00185927">
      <w:pPr>
        <w:pStyle w:val="PlainText"/>
        <w:rPr>
          <w:rFonts w:cs="Courier New"/>
        </w:rPr>
      </w:pPr>
    </w:p>
    <w:p w:rsidR="00185927" w:rsidRDefault="00185927" w:rsidP="00185927">
      <w:pPr>
        <w:pStyle w:val="PlainText"/>
        <w:rPr>
          <w:rFonts w:cs="Courier New"/>
        </w:rPr>
      </w:pPr>
      <w:r>
        <w:rPr>
          <w:rFonts w:cs="Courier New"/>
        </w:rPr>
        <w:tab/>
      </w:r>
      <w:r>
        <w:rPr>
          <w:rFonts w:cs="Courier New"/>
        </w:rPr>
        <w:tab/>
        <w:t>…</w:t>
      </w:r>
    </w:p>
    <w:p w:rsidR="00185927" w:rsidRPr="009F028D" w:rsidRDefault="00185927" w:rsidP="00185927">
      <w:pPr>
        <w:pStyle w:val="PlainText"/>
        <w:rPr>
          <w:rFonts w:cs="Courier New"/>
        </w:rPr>
      </w:pPr>
      <w:r w:rsidRPr="009F028D">
        <w:rPr>
          <w:rFonts w:cs="Courier New"/>
        </w:rPr>
        <w:t xml:space="preserve">          6                 There's the issue of co-optimization and</w:t>
      </w:r>
    </w:p>
    <w:p w:rsidR="00185927" w:rsidRPr="009F028D" w:rsidRDefault="00185927" w:rsidP="00185927">
      <w:pPr>
        <w:pStyle w:val="PlainText"/>
        <w:rPr>
          <w:rFonts w:cs="Courier New"/>
        </w:rPr>
      </w:pPr>
    </w:p>
    <w:p w:rsidR="00185927" w:rsidRPr="009F028D" w:rsidRDefault="00185927" w:rsidP="00185927">
      <w:pPr>
        <w:pStyle w:val="PlainText"/>
        <w:rPr>
          <w:rFonts w:cs="Courier New"/>
        </w:rPr>
      </w:pPr>
      <w:r w:rsidRPr="009F028D">
        <w:rPr>
          <w:rFonts w:cs="Courier New"/>
        </w:rPr>
        <w:t xml:space="preserve">          7   in particular local scarcity pricing, and then there's</w:t>
      </w:r>
    </w:p>
    <w:p w:rsidR="00185927" w:rsidRPr="009F028D" w:rsidRDefault="00185927" w:rsidP="00185927">
      <w:pPr>
        <w:pStyle w:val="PlainText"/>
        <w:rPr>
          <w:rFonts w:cs="Courier New"/>
        </w:rPr>
      </w:pPr>
    </w:p>
    <w:p w:rsidR="00185927" w:rsidRPr="009F028D" w:rsidRDefault="00185927" w:rsidP="00185927">
      <w:pPr>
        <w:pStyle w:val="PlainText"/>
        <w:rPr>
          <w:rFonts w:cs="Courier New"/>
        </w:rPr>
      </w:pPr>
      <w:r w:rsidRPr="009F028D">
        <w:rPr>
          <w:rFonts w:cs="Courier New"/>
        </w:rPr>
        <w:t xml:space="preserve">          8   some suggestions -- or analysis and suggestions around</w:t>
      </w:r>
    </w:p>
    <w:p w:rsidR="00185927" w:rsidRPr="009F028D" w:rsidRDefault="00185927" w:rsidP="00185927">
      <w:pPr>
        <w:pStyle w:val="PlainText"/>
        <w:rPr>
          <w:rFonts w:cs="Courier New"/>
        </w:rPr>
      </w:pPr>
    </w:p>
    <w:p w:rsidR="00185927" w:rsidRPr="009F028D" w:rsidRDefault="00185927" w:rsidP="00185927">
      <w:pPr>
        <w:pStyle w:val="PlainText"/>
        <w:rPr>
          <w:rFonts w:cs="Courier New"/>
        </w:rPr>
      </w:pPr>
      <w:r w:rsidRPr="009F028D">
        <w:rPr>
          <w:rFonts w:cs="Courier New"/>
        </w:rPr>
        <w:t xml:space="preserve">          9   transmission planning and cost allocation of those.</w:t>
      </w:r>
    </w:p>
    <w:p w:rsidR="00185927" w:rsidRDefault="00185927" w:rsidP="00185927">
      <w:pPr>
        <w:pStyle w:val="PlainText"/>
        <w:rPr>
          <w:rFonts w:cs="Courier New"/>
        </w:rPr>
      </w:pPr>
    </w:p>
    <w:p w:rsidR="00185927" w:rsidRDefault="00185927" w:rsidP="00185927">
      <w:pPr>
        <w:pStyle w:val="PlainText"/>
        <w:rPr>
          <w:rFonts w:cs="Courier New"/>
        </w:rPr>
      </w:pPr>
      <w:r>
        <w:rPr>
          <w:rFonts w:cs="Courier New"/>
        </w:rPr>
        <w:tab/>
      </w:r>
      <w:r>
        <w:rPr>
          <w:rFonts w:cs="Courier New"/>
        </w:rPr>
        <w:tab/>
        <w:t>…</w:t>
      </w:r>
    </w:p>
    <w:p w:rsidR="00185927" w:rsidRPr="009F028D" w:rsidRDefault="00185927" w:rsidP="00185927">
      <w:pPr>
        <w:pStyle w:val="PlainText"/>
        <w:rPr>
          <w:rFonts w:cs="Courier New"/>
        </w:rPr>
      </w:pPr>
      <w:r>
        <w:rPr>
          <w:rFonts w:cs="Courier New"/>
        </w:rPr>
        <w:tab/>
        <w:t xml:space="preserve">   </w:t>
      </w:r>
      <w:r w:rsidRPr="009F028D">
        <w:rPr>
          <w:rFonts w:cs="Courier New"/>
        </w:rPr>
        <w:t>24                 With respect to cost allocation, I don't</w:t>
      </w:r>
    </w:p>
    <w:p w:rsidR="00185927" w:rsidRPr="009F028D" w:rsidRDefault="00185927" w:rsidP="00185927">
      <w:pPr>
        <w:pStyle w:val="PlainText"/>
        <w:rPr>
          <w:rFonts w:cs="Courier New"/>
        </w:rPr>
      </w:pPr>
    </w:p>
    <w:p w:rsidR="00185927" w:rsidRDefault="00185927" w:rsidP="00185927">
      <w:pPr>
        <w:pStyle w:val="PlainText"/>
        <w:rPr>
          <w:rFonts w:cs="Courier New"/>
        </w:rPr>
      </w:pPr>
      <w:r w:rsidRPr="009F028D">
        <w:rPr>
          <w:rFonts w:cs="Courier New"/>
        </w:rPr>
        <w:t xml:space="preserve">         25   plan on taking that up, for one, if for no other reason</w:t>
      </w:r>
    </w:p>
    <w:p w:rsidR="00185927" w:rsidRPr="009F028D" w:rsidRDefault="00185927" w:rsidP="00185927">
      <w:pPr>
        <w:pStyle w:val="PlainText"/>
        <w:rPr>
          <w:rFonts w:cs="Courier New"/>
        </w:rPr>
      </w:pPr>
    </w:p>
    <w:p w:rsidR="00185927" w:rsidRPr="009F028D" w:rsidRDefault="00185927" w:rsidP="00185927">
      <w:pPr>
        <w:pStyle w:val="PlainText"/>
        <w:rPr>
          <w:rFonts w:cs="Courier New"/>
        </w:rPr>
      </w:pPr>
      <w:r>
        <w:rPr>
          <w:rFonts w:cs="Courier New"/>
        </w:rPr>
        <w:tab/>
        <w:t xml:space="preserve">    </w:t>
      </w:r>
      <w:r w:rsidRPr="009F028D">
        <w:rPr>
          <w:rFonts w:cs="Courier New"/>
        </w:rPr>
        <w:t>1   than that it would require, I think, a change to law.</w:t>
      </w:r>
    </w:p>
    <w:p w:rsidR="00185927" w:rsidRPr="009F028D" w:rsidRDefault="00185927" w:rsidP="00185927">
      <w:pPr>
        <w:pStyle w:val="PlainText"/>
        <w:rPr>
          <w:rFonts w:cs="Courier New"/>
        </w:rPr>
      </w:pPr>
    </w:p>
    <w:p w:rsidR="00185927" w:rsidRDefault="00185927" w:rsidP="00185927">
      <w:pPr>
        <w:pStyle w:val="PlainText"/>
        <w:rPr>
          <w:rFonts w:cs="Courier New"/>
        </w:rPr>
      </w:pPr>
      <w:r w:rsidRPr="009F028D">
        <w:rPr>
          <w:rFonts w:cs="Courier New"/>
        </w:rPr>
        <w:t xml:space="preserve">          2                 So we'd be, I think, wasting our time,</w:t>
      </w:r>
      <w:r w:rsidRPr="00185927">
        <w:rPr>
          <w:rStyle w:val="FootnoteReference"/>
          <w:rFonts w:ascii="Times New Roman" w:hAnsi="Times New Roman"/>
        </w:rPr>
        <w:footnoteReference w:id="58"/>
      </w:r>
    </w:p>
    <w:p w:rsidR="0009369D" w:rsidRDefault="0009369D" w:rsidP="00185927">
      <w:pPr>
        <w:pStyle w:val="PlainText"/>
        <w:rPr>
          <w:rFonts w:cs="Courier New"/>
        </w:rPr>
      </w:pPr>
    </w:p>
    <w:p w:rsidR="009524C6" w:rsidRPr="009F028D" w:rsidRDefault="009524C6" w:rsidP="00185927">
      <w:pPr>
        <w:pStyle w:val="PlainText"/>
        <w:rPr>
          <w:rFonts w:cs="Courier New"/>
        </w:rPr>
      </w:pPr>
    </w:p>
    <w:p w:rsidR="005E4EB4" w:rsidRDefault="005E4EB4" w:rsidP="005E4EB4">
      <w:pPr>
        <w:spacing w:line="480" w:lineRule="auto"/>
        <w:ind w:left="720" w:hanging="720"/>
        <w:jc w:val="both"/>
        <w:rPr>
          <w:b/>
          <w:sz w:val="24"/>
          <w:szCs w:val="24"/>
        </w:rPr>
      </w:pPr>
      <w:r>
        <w:rPr>
          <w:b/>
          <w:sz w:val="24"/>
          <w:szCs w:val="24"/>
        </w:rPr>
        <w:t>Q.</w:t>
      </w:r>
      <w:r>
        <w:rPr>
          <w:b/>
          <w:sz w:val="24"/>
          <w:szCs w:val="24"/>
        </w:rPr>
        <w:tab/>
        <w:t>Do the Hogan-Pope Report and the IMM Report cited by TCPA provide a reasonable basis for rejecting CenterPoint’s proposed 4CP allocation and rate design for transmission costs?</w:t>
      </w:r>
    </w:p>
    <w:p w:rsidR="005E4EB4" w:rsidRPr="005E4EB4" w:rsidRDefault="005E4EB4" w:rsidP="005E4EB4">
      <w:pPr>
        <w:spacing w:line="480" w:lineRule="auto"/>
        <w:ind w:left="720" w:hanging="720"/>
        <w:jc w:val="both"/>
        <w:rPr>
          <w:sz w:val="24"/>
          <w:szCs w:val="24"/>
        </w:rPr>
      </w:pPr>
      <w:r>
        <w:rPr>
          <w:sz w:val="24"/>
          <w:szCs w:val="24"/>
        </w:rPr>
        <w:t>A.</w:t>
      </w:r>
      <w:r>
        <w:rPr>
          <w:sz w:val="24"/>
          <w:szCs w:val="24"/>
        </w:rPr>
        <w:tab/>
        <w:t xml:space="preserve">No.  The reports are both fundamentally flawed in their critiques of transmission rate design as they are focused on the ERCOT energy market in isolation, and </w:t>
      </w:r>
      <w:r w:rsidR="002C769D">
        <w:rPr>
          <w:sz w:val="24"/>
          <w:szCs w:val="24"/>
        </w:rPr>
        <w:t>do not reflect a consideration of the broader public</w:t>
      </w:r>
      <w:r w:rsidR="0017576C">
        <w:rPr>
          <w:sz w:val="24"/>
          <w:szCs w:val="24"/>
        </w:rPr>
        <w:t xml:space="preserve"> and ratepayer</w:t>
      </w:r>
      <w:r w:rsidR="002C769D">
        <w:rPr>
          <w:sz w:val="24"/>
          <w:szCs w:val="24"/>
        </w:rPr>
        <w:t xml:space="preserve"> interest perspective.</w:t>
      </w:r>
      <w:r>
        <w:rPr>
          <w:sz w:val="24"/>
          <w:szCs w:val="24"/>
        </w:rPr>
        <w:t xml:space="preserve"> </w:t>
      </w:r>
      <w:r w:rsidR="002C769D">
        <w:rPr>
          <w:sz w:val="24"/>
          <w:szCs w:val="24"/>
        </w:rPr>
        <w:t xml:space="preserve"> Both of the reports also </w:t>
      </w:r>
      <w:r>
        <w:rPr>
          <w:sz w:val="24"/>
          <w:szCs w:val="24"/>
        </w:rPr>
        <w:t xml:space="preserve">reflect a lack of understanding with respect to certain ratemaking principles.  The terminology used in the reports also adds to </w:t>
      </w:r>
      <w:r w:rsidR="002C769D">
        <w:rPr>
          <w:sz w:val="24"/>
          <w:szCs w:val="24"/>
        </w:rPr>
        <w:t xml:space="preserve">the </w:t>
      </w:r>
      <w:r>
        <w:rPr>
          <w:sz w:val="24"/>
          <w:szCs w:val="24"/>
        </w:rPr>
        <w:t>confusion</w:t>
      </w:r>
      <w:r w:rsidR="002C769D">
        <w:rPr>
          <w:sz w:val="24"/>
          <w:szCs w:val="24"/>
        </w:rPr>
        <w:t xml:space="preserve"> previously discussed</w:t>
      </w:r>
      <w:r>
        <w:rPr>
          <w:sz w:val="24"/>
          <w:szCs w:val="24"/>
        </w:rPr>
        <w:t xml:space="preserve">, as they both conflate </w:t>
      </w:r>
      <w:r>
        <w:rPr>
          <w:i/>
          <w:sz w:val="24"/>
          <w:szCs w:val="24"/>
        </w:rPr>
        <w:t>cost allocation</w:t>
      </w:r>
      <w:r>
        <w:rPr>
          <w:sz w:val="24"/>
          <w:szCs w:val="24"/>
        </w:rPr>
        <w:t xml:space="preserve"> with </w:t>
      </w:r>
      <w:r>
        <w:rPr>
          <w:i/>
          <w:sz w:val="24"/>
          <w:szCs w:val="24"/>
        </w:rPr>
        <w:t>rate design</w:t>
      </w:r>
      <w:r>
        <w:rPr>
          <w:sz w:val="24"/>
          <w:szCs w:val="24"/>
        </w:rPr>
        <w:t>.</w:t>
      </w:r>
    </w:p>
    <w:p w:rsidR="005E4EB4" w:rsidRDefault="0017576C" w:rsidP="005E4EB4">
      <w:pPr>
        <w:spacing w:line="480" w:lineRule="auto"/>
        <w:ind w:left="720" w:hanging="720"/>
        <w:jc w:val="both"/>
        <w:rPr>
          <w:b/>
          <w:sz w:val="24"/>
          <w:szCs w:val="24"/>
        </w:rPr>
      </w:pPr>
      <w:r>
        <w:rPr>
          <w:b/>
          <w:sz w:val="24"/>
          <w:szCs w:val="24"/>
        </w:rPr>
        <w:t>Q.</w:t>
      </w:r>
      <w:r>
        <w:rPr>
          <w:b/>
          <w:sz w:val="24"/>
          <w:szCs w:val="24"/>
        </w:rPr>
        <w:tab/>
        <w:t>How do the reports fail to consider the broader public and ratepayer interest perspective?</w:t>
      </w:r>
    </w:p>
    <w:p w:rsidR="001F794E" w:rsidRDefault="0017576C" w:rsidP="001F794E">
      <w:pPr>
        <w:spacing w:line="480" w:lineRule="auto"/>
        <w:ind w:left="720" w:hanging="720"/>
        <w:jc w:val="both"/>
        <w:rPr>
          <w:sz w:val="24"/>
          <w:szCs w:val="24"/>
        </w:rPr>
      </w:pPr>
      <w:r>
        <w:rPr>
          <w:sz w:val="24"/>
          <w:szCs w:val="24"/>
        </w:rPr>
        <w:t>A.</w:t>
      </w:r>
      <w:r>
        <w:rPr>
          <w:sz w:val="24"/>
          <w:szCs w:val="24"/>
        </w:rPr>
        <w:tab/>
      </w:r>
      <w:r w:rsidR="0022531E">
        <w:rPr>
          <w:sz w:val="24"/>
          <w:szCs w:val="24"/>
        </w:rPr>
        <w:t>Where they address transmission rates, b</w:t>
      </w:r>
      <w:r w:rsidR="009F6298">
        <w:rPr>
          <w:sz w:val="24"/>
          <w:szCs w:val="24"/>
        </w:rPr>
        <w:t xml:space="preserve">oth of the reports are limited in scope to considering only the effects of 4CP transmission rate design </w:t>
      </w:r>
      <w:r w:rsidR="00CC3B09">
        <w:rPr>
          <w:sz w:val="24"/>
          <w:szCs w:val="24"/>
        </w:rPr>
        <w:t xml:space="preserve">on the ERCOT energy market, and </w:t>
      </w:r>
      <w:r w:rsidR="009524C6">
        <w:rPr>
          <w:sz w:val="24"/>
          <w:szCs w:val="24"/>
        </w:rPr>
        <w:t>they do not consider</w:t>
      </w:r>
      <w:r w:rsidR="00CC3B09">
        <w:rPr>
          <w:sz w:val="24"/>
          <w:szCs w:val="24"/>
        </w:rPr>
        <w:t xml:space="preserve"> the overall effects</w:t>
      </w:r>
      <w:r w:rsidR="0022531E">
        <w:rPr>
          <w:sz w:val="24"/>
          <w:szCs w:val="24"/>
        </w:rPr>
        <w:t xml:space="preserve"> on customers</w:t>
      </w:r>
      <w:r w:rsidR="00CC3B09">
        <w:rPr>
          <w:sz w:val="24"/>
          <w:szCs w:val="24"/>
        </w:rPr>
        <w:t xml:space="preserve"> of the rate design and </w:t>
      </w:r>
      <w:r w:rsidR="0022531E">
        <w:rPr>
          <w:sz w:val="24"/>
          <w:szCs w:val="24"/>
        </w:rPr>
        <w:t xml:space="preserve">the </w:t>
      </w:r>
      <w:r w:rsidR="00CC3B09">
        <w:rPr>
          <w:sz w:val="24"/>
          <w:szCs w:val="24"/>
        </w:rPr>
        <w:t xml:space="preserve">market combined.  For example, the Hogan-Pope Report states “this price for incremental consumption for 4CP customers during potential peak demand intervals is orders of magnitude higher than the energy price paid to suppliers, creating an inconsistency </w:t>
      </w:r>
      <w:r w:rsidR="00CC3B09" w:rsidRPr="00CC3B09">
        <w:rPr>
          <w:i/>
          <w:sz w:val="24"/>
          <w:szCs w:val="24"/>
        </w:rPr>
        <w:t>from the perspective of the efficient energy-only market design</w:t>
      </w:r>
      <w:r w:rsidR="00CC3B09">
        <w:rPr>
          <w:sz w:val="24"/>
          <w:szCs w:val="24"/>
        </w:rPr>
        <w:t>.”</w:t>
      </w:r>
      <w:r w:rsidR="00CC3B09">
        <w:rPr>
          <w:rStyle w:val="FootnoteReference"/>
          <w:sz w:val="24"/>
          <w:szCs w:val="24"/>
        </w:rPr>
        <w:footnoteReference w:id="59"/>
      </w:r>
      <w:r w:rsidR="00CC3B09">
        <w:rPr>
          <w:sz w:val="24"/>
          <w:szCs w:val="24"/>
        </w:rPr>
        <w:t xml:space="preserve">  The reports fail to consider that ratepayers are affected by more than just energy market prices – ratepayers are subject to transmission and distribution charges in addition to energy market prices.  By focusing solely on what is optimal for the energy market, the reports neglect to consider what </w:t>
      </w:r>
      <w:r w:rsidR="0022531E">
        <w:rPr>
          <w:sz w:val="24"/>
          <w:szCs w:val="24"/>
        </w:rPr>
        <w:t>is optimal</w:t>
      </w:r>
      <w:r w:rsidR="00CC3B09">
        <w:rPr>
          <w:sz w:val="24"/>
          <w:szCs w:val="24"/>
        </w:rPr>
        <w:t xml:space="preserve"> for ratepayers subject to both the market</w:t>
      </w:r>
      <w:r w:rsidR="0022531E">
        <w:rPr>
          <w:sz w:val="24"/>
          <w:szCs w:val="24"/>
        </w:rPr>
        <w:t xml:space="preserve"> prices</w:t>
      </w:r>
      <w:r w:rsidR="00CC3B09">
        <w:rPr>
          <w:sz w:val="24"/>
          <w:szCs w:val="24"/>
        </w:rPr>
        <w:t xml:space="preserve"> and </w:t>
      </w:r>
      <w:r w:rsidR="001F794E">
        <w:rPr>
          <w:sz w:val="24"/>
          <w:szCs w:val="24"/>
        </w:rPr>
        <w:t xml:space="preserve">to the </w:t>
      </w:r>
      <w:r w:rsidR="00CC3B09">
        <w:rPr>
          <w:sz w:val="24"/>
          <w:szCs w:val="24"/>
        </w:rPr>
        <w:t>regulated TDU rates</w:t>
      </w:r>
      <w:r w:rsidR="0022531E">
        <w:rPr>
          <w:sz w:val="24"/>
          <w:szCs w:val="24"/>
        </w:rPr>
        <w:t xml:space="preserve"> in combination</w:t>
      </w:r>
      <w:r w:rsidR="00CC3B09">
        <w:rPr>
          <w:sz w:val="24"/>
          <w:szCs w:val="24"/>
        </w:rPr>
        <w:t>.</w:t>
      </w:r>
      <w:r w:rsidR="0022531E">
        <w:rPr>
          <w:sz w:val="24"/>
          <w:szCs w:val="24"/>
        </w:rPr>
        <w:t xml:space="preserve">  That the 4CP rate design for transmission charges has an effect on the energy market that does not reflect the dynamics of the energy market is not a reasonable </w:t>
      </w:r>
      <w:r w:rsidR="006072EA">
        <w:rPr>
          <w:sz w:val="24"/>
          <w:szCs w:val="24"/>
        </w:rPr>
        <w:t>critique</w:t>
      </w:r>
      <w:r w:rsidR="0022531E">
        <w:rPr>
          <w:sz w:val="24"/>
          <w:szCs w:val="24"/>
        </w:rPr>
        <w:t xml:space="preserve"> of the transmission rate design; rather, such effects are normal aspects of well-functioning markets, and do not </w:t>
      </w:r>
      <w:r w:rsidR="00497F9B">
        <w:rPr>
          <w:sz w:val="24"/>
          <w:szCs w:val="24"/>
        </w:rPr>
        <w:t xml:space="preserve">in themselves </w:t>
      </w:r>
      <w:r w:rsidR="0022531E">
        <w:rPr>
          <w:sz w:val="24"/>
          <w:szCs w:val="24"/>
        </w:rPr>
        <w:t xml:space="preserve">indicate an inappropriate </w:t>
      </w:r>
      <w:r w:rsidR="00497F9B">
        <w:rPr>
          <w:sz w:val="24"/>
          <w:szCs w:val="24"/>
        </w:rPr>
        <w:t>“</w:t>
      </w:r>
      <w:r w:rsidR="0022531E">
        <w:rPr>
          <w:sz w:val="24"/>
          <w:szCs w:val="24"/>
        </w:rPr>
        <w:t>distortion.</w:t>
      </w:r>
      <w:r w:rsidR="00497F9B">
        <w:rPr>
          <w:sz w:val="24"/>
          <w:szCs w:val="24"/>
        </w:rPr>
        <w:t>”</w:t>
      </w:r>
      <w:r w:rsidR="001F794E">
        <w:rPr>
          <w:sz w:val="24"/>
          <w:szCs w:val="24"/>
        </w:rPr>
        <w:br w:type="page"/>
      </w:r>
    </w:p>
    <w:p w:rsidR="00BB1B82" w:rsidRDefault="00BB1B82" w:rsidP="005E4EB4">
      <w:pPr>
        <w:spacing w:line="480" w:lineRule="auto"/>
        <w:ind w:left="720" w:hanging="720"/>
        <w:jc w:val="both"/>
        <w:rPr>
          <w:b/>
          <w:sz w:val="24"/>
          <w:szCs w:val="24"/>
        </w:rPr>
      </w:pPr>
      <w:r>
        <w:rPr>
          <w:b/>
          <w:sz w:val="24"/>
          <w:szCs w:val="24"/>
        </w:rPr>
        <w:t>Q.</w:t>
      </w:r>
      <w:r>
        <w:rPr>
          <w:b/>
          <w:sz w:val="24"/>
          <w:szCs w:val="24"/>
        </w:rPr>
        <w:tab/>
        <w:t>How is it that the alleged “distortions” caused by the 4CP transmission rate design are normal aspects of well-functioning markets?</w:t>
      </w:r>
    </w:p>
    <w:p w:rsidR="00DC081F" w:rsidRDefault="00BB1B82" w:rsidP="00BB1B82">
      <w:pPr>
        <w:spacing w:line="480" w:lineRule="auto"/>
        <w:ind w:left="720" w:hanging="720"/>
        <w:jc w:val="both"/>
        <w:rPr>
          <w:sz w:val="24"/>
          <w:szCs w:val="24"/>
        </w:rPr>
      </w:pPr>
      <w:r>
        <w:rPr>
          <w:sz w:val="24"/>
          <w:szCs w:val="24"/>
        </w:rPr>
        <w:t>A.</w:t>
      </w:r>
      <w:r>
        <w:rPr>
          <w:sz w:val="24"/>
          <w:szCs w:val="24"/>
        </w:rPr>
        <w:tab/>
        <w:t>TCPA cites to claims in the Hogan-Pope report that the energy market price reductions caused by customers reducing 4CP load is “distortive,” and also references the IMM report, which states that “by curtailing load in response to incentives that are not aligned with the real-time energy market, supply is uneconomically reduced and the real-time market is adversely affected.”</w:t>
      </w:r>
      <w:r>
        <w:rPr>
          <w:rStyle w:val="FootnoteReference"/>
          <w:sz w:val="24"/>
          <w:szCs w:val="24"/>
        </w:rPr>
        <w:footnoteReference w:id="60"/>
      </w:r>
      <w:r>
        <w:rPr>
          <w:sz w:val="24"/>
          <w:szCs w:val="24"/>
        </w:rPr>
        <w:t xml:space="preserve">  These arguments are incorrect</w:t>
      </w:r>
      <w:r w:rsidR="00CE1E87">
        <w:rPr>
          <w:sz w:val="24"/>
          <w:szCs w:val="24"/>
        </w:rPr>
        <w:t xml:space="preserve"> from the broader ratepayer perspective</w:t>
      </w:r>
      <w:r>
        <w:rPr>
          <w:sz w:val="24"/>
          <w:szCs w:val="24"/>
        </w:rPr>
        <w:t xml:space="preserve">.  Transmission service and energy supply are what economists refer to as </w:t>
      </w:r>
      <w:r>
        <w:rPr>
          <w:i/>
          <w:sz w:val="24"/>
          <w:szCs w:val="24"/>
        </w:rPr>
        <w:t>complements</w:t>
      </w:r>
      <w:r>
        <w:rPr>
          <w:sz w:val="24"/>
          <w:szCs w:val="24"/>
        </w:rPr>
        <w:t xml:space="preserve">, or </w:t>
      </w:r>
      <w:r>
        <w:rPr>
          <w:i/>
          <w:sz w:val="24"/>
          <w:szCs w:val="24"/>
        </w:rPr>
        <w:t>complementary goods</w:t>
      </w:r>
      <w:r>
        <w:rPr>
          <w:sz w:val="24"/>
          <w:szCs w:val="24"/>
        </w:rPr>
        <w:t xml:space="preserve"> – two goods that are primarily consumed together.  As complements, transmission service and energy supply experience joint demand, and exhibit negative cross elasticity of demand.  In layman’s terms,</w:t>
      </w:r>
      <w:r w:rsidR="001F794E">
        <w:rPr>
          <w:sz w:val="24"/>
          <w:szCs w:val="24"/>
        </w:rPr>
        <w:t xml:space="preserve"> this means that</w:t>
      </w:r>
      <w:r>
        <w:rPr>
          <w:sz w:val="24"/>
          <w:szCs w:val="24"/>
        </w:rPr>
        <w:t xml:space="preserve"> if the price of one complement increases, then the demand for the other complement, and its price, </w:t>
      </w:r>
      <w:r w:rsidR="001F794E">
        <w:rPr>
          <w:sz w:val="24"/>
          <w:szCs w:val="24"/>
        </w:rPr>
        <w:t>tends to fall</w:t>
      </w:r>
      <w:r>
        <w:rPr>
          <w:sz w:val="24"/>
          <w:szCs w:val="24"/>
        </w:rPr>
        <w:t xml:space="preserve"> in response.  </w:t>
      </w:r>
      <w:r w:rsidR="00DC081F">
        <w:rPr>
          <w:sz w:val="24"/>
          <w:szCs w:val="24"/>
        </w:rPr>
        <w:t>This is a normal, well-functioning market response.</w:t>
      </w:r>
    </w:p>
    <w:p w:rsidR="00DC081F" w:rsidRDefault="00DC081F" w:rsidP="00DC081F">
      <w:pPr>
        <w:spacing w:line="480" w:lineRule="auto"/>
        <w:ind w:left="720" w:firstLine="720"/>
        <w:jc w:val="both"/>
        <w:rPr>
          <w:sz w:val="24"/>
          <w:szCs w:val="24"/>
        </w:rPr>
      </w:pPr>
      <w:r>
        <w:rPr>
          <w:sz w:val="24"/>
          <w:szCs w:val="24"/>
        </w:rPr>
        <w:t>For example, peanut butter and jelly are two goods that can exhibit complementarity.  If a widespread peanut crop failure led to high prices for peanut butter due to scarcity, then the normal market response is that the price of jelly would fall as consumers respond to higher peanut butter prices by reducing consumption of both peanut butter and their demand for jelly, putting downward pressure on the price of jelly.</w:t>
      </w:r>
    </w:p>
    <w:p w:rsidR="00BB1B82" w:rsidRPr="00BB1B82" w:rsidRDefault="00DC081F" w:rsidP="00DC081F">
      <w:pPr>
        <w:spacing w:line="480" w:lineRule="auto"/>
        <w:ind w:left="720" w:firstLine="720"/>
        <w:jc w:val="both"/>
        <w:rPr>
          <w:sz w:val="24"/>
          <w:szCs w:val="24"/>
        </w:rPr>
      </w:pPr>
      <w:r>
        <w:rPr>
          <w:sz w:val="24"/>
          <w:szCs w:val="24"/>
        </w:rPr>
        <w:t>As the reports both</w:t>
      </w:r>
      <w:r w:rsidR="006072EA">
        <w:rPr>
          <w:sz w:val="24"/>
          <w:szCs w:val="24"/>
        </w:rPr>
        <w:t xml:space="preserve"> correctly</w:t>
      </w:r>
      <w:r>
        <w:rPr>
          <w:sz w:val="24"/>
          <w:szCs w:val="24"/>
        </w:rPr>
        <w:t xml:space="preserve"> note, transmission rates have experience significant increases in the past several years</w:t>
      </w:r>
      <w:r w:rsidR="00B90D36">
        <w:rPr>
          <w:sz w:val="24"/>
          <w:szCs w:val="24"/>
        </w:rPr>
        <w:t xml:space="preserve"> - and</w:t>
      </w:r>
      <w:r>
        <w:rPr>
          <w:sz w:val="24"/>
          <w:szCs w:val="24"/>
        </w:rPr>
        <w:t xml:space="preserve"> it is a normal and healthy </w:t>
      </w:r>
      <w:r w:rsidR="006072EA">
        <w:rPr>
          <w:sz w:val="24"/>
          <w:szCs w:val="24"/>
        </w:rPr>
        <w:t xml:space="preserve">economic </w:t>
      </w:r>
      <w:r>
        <w:rPr>
          <w:sz w:val="24"/>
          <w:szCs w:val="24"/>
        </w:rPr>
        <w:t xml:space="preserve">response for ratepayers to reduce </w:t>
      </w:r>
      <w:r w:rsidR="006072EA">
        <w:rPr>
          <w:sz w:val="24"/>
          <w:szCs w:val="24"/>
        </w:rPr>
        <w:t xml:space="preserve">peak </w:t>
      </w:r>
      <w:r>
        <w:rPr>
          <w:sz w:val="24"/>
          <w:szCs w:val="24"/>
        </w:rPr>
        <w:t xml:space="preserve">load on the transmission system in response to the higher transmission </w:t>
      </w:r>
      <w:r w:rsidR="006072EA">
        <w:rPr>
          <w:sz w:val="24"/>
          <w:szCs w:val="24"/>
        </w:rPr>
        <w:t>costs</w:t>
      </w:r>
      <w:r>
        <w:rPr>
          <w:sz w:val="24"/>
          <w:szCs w:val="24"/>
        </w:rPr>
        <w:t>, and for the complementary energy market to face some downwards price pressure due to this rational and economically appropriate response.</w:t>
      </w:r>
    </w:p>
    <w:p w:rsidR="005E4EB4" w:rsidRDefault="0022531E" w:rsidP="005E4EB4">
      <w:pPr>
        <w:spacing w:line="480" w:lineRule="auto"/>
        <w:ind w:left="720" w:hanging="720"/>
        <w:jc w:val="both"/>
        <w:rPr>
          <w:b/>
          <w:sz w:val="24"/>
          <w:szCs w:val="24"/>
        </w:rPr>
      </w:pPr>
      <w:r>
        <w:rPr>
          <w:b/>
          <w:sz w:val="24"/>
          <w:szCs w:val="24"/>
        </w:rPr>
        <w:t>Q.</w:t>
      </w:r>
      <w:r>
        <w:rPr>
          <w:b/>
          <w:sz w:val="24"/>
          <w:szCs w:val="24"/>
        </w:rPr>
        <w:tab/>
      </w:r>
      <w:r w:rsidR="00BB1B82">
        <w:rPr>
          <w:b/>
          <w:sz w:val="24"/>
          <w:szCs w:val="24"/>
        </w:rPr>
        <w:t>Is there merit to t</w:t>
      </w:r>
      <w:r>
        <w:rPr>
          <w:b/>
          <w:sz w:val="24"/>
          <w:szCs w:val="24"/>
        </w:rPr>
        <w:t xml:space="preserve">he Hogan-Pope “sunk cost” critique of 4CP </w:t>
      </w:r>
      <w:r w:rsidR="00BB1B82">
        <w:rPr>
          <w:b/>
          <w:sz w:val="24"/>
          <w:szCs w:val="24"/>
        </w:rPr>
        <w:t xml:space="preserve">transmission </w:t>
      </w:r>
      <w:r>
        <w:rPr>
          <w:b/>
          <w:sz w:val="24"/>
          <w:szCs w:val="24"/>
        </w:rPr>
        <w:t>rate design</w:t>
      </w:r>
      <w:r w:rsidR="00BB1B82">
        <w:rPr>
          <w:b/>
          <w:sz w:val="24"/>
          <w:szCs w:val="24"/>
        </w:rPr>
        <w:t xml:space="preserve"> cited by TCPA?</w:t>
      </w:r>
    </w:p>
    <w:p w:rsidR="00031B35" w:rsidRDefault="00BB1B82" w:rsidP="005E4EB4">
      <w:pPr>
        <w:spacing w:line="480" w:lineRule="auto"/>
        <w:ind w:left="720" w:hanging="720"/>
        <w:jc w:val="both"/>
        <w:rPr>
          <w:sz w:val="24"/>
          <w:szCs w:val="24"/>
        </w:rPr>
      </w:pPr>
      <w:r>
        <w:rPr>
          <w:sz w:val="24"/>
          <w:szCs w:val="24"/>
        </w:rPr>
        <w:t>A.</w:t>
      </w:r>
      <w:r>
        <w:rPr>
          <w:sz w:val="24"/>
          <w:szCs w:val="24"/>
        </w:rPr>
        <w:tab/>
        <w:t>No.  The Hogan-Pope analysis of transmission rate design</w:t>
      </w:r>
      <w:r w:rsidR="00DC081F">
        <w:rPr>
          <w:sz w:val="24"/>
          <w:szCs w:val="24"/>
        </w:rPr>
        <w:t>, as cited by TCPA,</w:t>
      </w:r>
      <w:r>
        <w:rPr>
          <w:sz w:val="24"/>
          <w:szCs w:val="24"/>
        </w:rPr>
        <w:t xml:space="preserve"> is fundamentally based on </w:t>
      </w:r>
      <w:r w:rsidR="00DC081F">
        <w:rPr>
          <w:sz w:val="24"/>
          <w:szCs w:val="24"/>
        </w:rPr>
        <w:t xml:space="preserve">the allegation that transmission costs are “sunk costs,” and therefore should not be priced in a manner that provides ratepayers an incentive to reduce their load on the transmission system.  </w:t>
      </w:r>
      <w:r w:rsidR="00571C0B">
        <w:rPr>
          <w:sz w:val="24"/>
          <w:szCs w:val="24"/>
        </w:rPr>
        <w:t>In addition to conflicting with the</w:t>
      </w:r>
      <w:r w:rsidR="00571C0B" w:rsidRPr="00571C0B">
        <w:t xml:space="preserve"> </w:t>
      </w:r>
      <w:r w:rsidR="00571C0B" w:rsidRPr="00571C0B">
        <w:rPr>
          <w:sz w:val="24"/>
          <w:szCs w:val="24"/>
        </w:rPr>
        <w:t>PURA § 36.053(a)</w:t>
      </w:r>
      <w:r w:rsidR="00571C0B">
        <w:rPr>
          <w:sz w:val="24"/>
          <w:szCs w:val="24"/>
        </w:rPr>
        <w:t xml:space="preserve"> requirement that rates be based on historical, or “sunk” costs, this argument is flawed</w:t>
      </w:r>
      <w:r w:rsidR="00DC081F">
        <w:rPr>
          <w:sz w:val="24"/>
          <w:szCs w:val="24"/>
        </w:rPr>
        <w:t xml:space="preserve"> as it fails to appreciate well-established principles of ratemaking.  </w:t>
      </w:r>
      <w:r w:rsidR="000678AF">
        <w:rPr>
          <w:sz w:val="24"/>
          <w:szCs w:val="24"/>
        </w:rPr>
        <w:t xml:space="preserve">Economists generally agree that in a competitive market, prices (or rates) tend not to reflect sunk costs, which are costs that have already been incurred and can no longer be avoided.  However, one of the bases of regulated ratemaking for monopoly utilities is that </w:t>
      </w:r>
      <w:r w:rsidR="00031B35">
        <w:rPr>
          <w:sz w:val="24"/>
          <w:szCs w:val="24"/>
        </w:rPr>
        <w:t xml:space="preserve">pure </w:t>
      </w:r>
      <w:r w:rsidR="000678AF">
        <w:rPr>
          <w:sz w:val="24"/>
          <w:szCs w:val="24"/>
        </w:rPr>
        <w:t xml:space="preserve">marginal cost pricing (which excludes sunk costs) may fail to </w:t>
      </w:r>
      <w:r w:rsidR="00031B35">
        <w:rPr>
          <w:sz w:val="24"/>
          <w:szCs w:val="24"/>
        </w:rPr>
        <w:t>result in</w:t>
      </w:r>
      <w:r w:rsidR="000678AF">
        <w:rPr>
          <w:sz w:val="24"/>
          <w:szCs w:val="24"/>
        </w:rPr>
        <w:t xml:space="preserve"> an adequate level of utility service due to</w:t>
      </w:r>
      <w:r w:rsidR="00EC5DB5">
        <w:rPr>
          <w:sz w:val="24"/>
          <w:szCs w:val="24"/>
        </w:rPr>
        <w:t xml:space="preserve"> the </w:t>
      </w:r>
      <w:r w:rsidR="000678AF">
        <w:rPr>
          <w:sz w:val="24"/>
          <w:szCs w:val="24"/>
        </w:rPr>
        <w:t xml:space="preserve">disproportionately </w:t>
      </w:r>
      <w:r w:rsidR="00EC5DB5">
        <w:rPr>
          <w:sz w:val="24"/>
          <w:szCs w:val="24"/>
        </w:rPr>
        <w:t>high</w:t>
      </w:r>
      <w:r w:rsidR="000678AF">
        <w:rPr>
          <w:sz w:val="24"/>
          <w:szCs w:val="24"/>
        </w:rPr>
        <w:t xml:space="preserve"> fixed costs</w:t>
      </w:r>
      <w:r w:rsidR="00EC5DB5">
        <w:rPr>
          <w:sz w:val="24"/>
          <w:szCs w:val="24"/>
        </w:rPr>
        <w:t xml:space="preserve"> and economies of scale associated with utility service</w:t>
      </w:r>
      <w:r w:rsidR="000678AF">
        <w:rPr>
          <w:sz w:val="24"/>
          <w:szCs w:val="24"/>
        </w:rPr>
        <w:t>.</w:t>
      </w:r>
    </w:p>
    <w:p w:rsidR="001F794E" w:rsidRDefault="000678AF" w:rsidP="001F794E">
      <w:pPr>
        <w:spacing w:line="480" w:lineRule="auto"/>
        <w:ind w:left="720" w:firstLine="720"/>
        <w:jc w:val="both"/>
        <w:rPr>
          <w:sz w:val="24"/>
          <w:szCs w:val="24"/>
        </w:rPr>
      </w:pPr>
      <w:r>
        <w:rPr>
          <w:sz w:val="24"/>
          <w:szCs w:val="24"/>
        </w:rPr>
        <w:t xml:space="preserve">Furthermore, while historical sunk costs are one input into regulated rates, Hogan-Pope and the IMM fail to appreciate that </w:t>
      </w:r>
      <w:r w:rsidR="00EC5DB5">
        <w:rPr>
          <w:sz w:val="24"/>
          <w:szCs w:val="24"/>
        </w:rPr>
        <w:t>a significant portion of transmission cost of service involves on</w:t>
      </w:r>
      <w:r w:rsidR="007A2422">
        <w:rPr>
          <w:sz w:val="24"/>
          <w:szCs w:val="24"/>
        </w:rPr>
        <w:t xml:space="preserve">going costs that are not sunk costs, </w:t>
      </w:r>
      <w:r w:rsidR="00031B35">
        <w:rPr>
          <w:sz w:val="24"/>
          <w:szCs w:val="24"/>
        </w:rPr>
        <w:t>such as operations and maintenance costs required to serve loads.  The reports</w:t>
      </w:r>
      <w:r w:rsidR="007A2422">
        <w:rPr>
          <w:sz w:val="24"/>
          <w:szCs w:val="24"/>
        </w:rPr>
        <w:t xml:space="preserve"> also neglect the fact that </w:t>
      </w:r>
      <w:r>
        <w:rPr>
          <w:sz w:val="24"/>
          <w:szCs w:val="24"/>
        </w:rPr>
        <w:t xml:space="preserve">rates are </w:t>
      </w:r>
      <w:r w:rsidR="007A2422">
        <w:rPr>
          <w:sz w:val="24"/>
          <w:szCs w:val="24"/>
        </w:rPr>
        <w:t xml:space="preserve">generally </w:t>
      </w:r>
      <w:r>
        <w:rPr>
          <w:sz w:val="24"/>
          <w:szCs w:val="24"/>
        </w:rPr>
        <w:t xml:space="preserve">established so as to be </w:t>
      </w:r>
      <w:r w:rsidR="00031B35">
        <w:rPr>
          <w:sz w:val="24"/>
          <w:szCs w:val="24"/>
        </w:rPr>
        <w:t xml:space="preserve">somewhat </w:t>
      </w:r>
      <w:r>
        <w:rPr>
          <w:sz w:val="24"/>
          <w:szCs w:val="24"/>
        </w:rPr>
        <w:t>representative of ongoing costs and that they serve function</w:t>
      </w:r>
      <w:r w:rsidR="001F794E">
        <w:rPr>
          <w:sz w:val="24"/>
          <w:szCs w:val="24"/>
        </w:rPr>
        <w:t>s</w:t>
      </w:r>
      <w:r>
        <w:rPr>
          <w:sz w:val="24"/>
          <w:szCs w:val="24"/>
        </w:rPr>
        <w:t xml:space="preserve"> beyond simply recovering costs</w:t>
      </w:r>
      <w:r w:rsidR="001F794E">
        <w:rPr>
          <w:sz w:val="24"/>
          <w:szCs w:val="24"/>
        </w:rPr>
        <w:t xml:space="preserve"> for the utility</w:t>
      </w:r>
      <w:r>
        <w:rPr>
          <w:sz w:val="24"/>
          <w:szCs w:val="24"/>
        </w:rPr>
        <w:t>.</w:t>
      </w:r>
      <w:r w:rsidR="001F794E">
        <w:rPr>
          <w:sz w:val="24"/>
          <w:szCs w:val="24"/>
        </w:rPr>
        <w:br w:type="page"/>
      </w:r>
    </w:p>
    <w:p w:rsidR="00EC5DB5" w:rsidRDefault="00EC5DB5" w:rsidP="005E4EB4">
      <w:pPr>
        <w:spacing w:line="480" w:lineRule="auto"/>
        <w:ind w:left="720" w:hanging="720"/>
        <w:jc w:val="both"/>
        <w:rPr>
          <w:b/>
          <w:sz w:val="24"/>
          <w:szCs w:val="24"/>
        </w:rPr>
      </w:pPr>
      <w:r>
        <w:rPr>
          <w:b/>
          <w:sz w:val="24"/>
          <w:szCs w:val="24"/>
        </w:rPr>
        <w:t>Q.</w:t>
      </w:r>
      <w:r>
        <w:rPr>
          <w:b/>
          <w:sz w:val="24"/>
          <w:szCs w:val="24"/>
        </w:rPr>
        <w:tab/>
        <w:t xml:space="preserve">What criteria of a sound rate structure are </w:t>
      </w:r>
      <w:r w:rsidR="00CE1E87">
        <w:rPr>
          <w:b/>
          <w:sz w:val="24"/>
          <w:szCs w:val="24"/>
        </w:rPr>
        <w:t>not considered</w:t>
      </w:r>
      <w:r>
        <w:rPr>
          <w:b/>
          <w:sz w:val="24"/>
          <w:szCs w:val="24"/>
        </w:rPr>
        <w:t xml:space="preserve"> in the Hogan-Pope and IMM reports?</w:t>
      </w:r>
    </w:p>
    <w:p w:rsidR="00BB1B82" w:rsidRPr="00BB1B82" w:rsidRDefault="00EC5DB5" w:rsidP="005E4EB4">
      <w:pPr>
        <w:spacing w:line="480" w:lineRule="auto"/>
        <w:ind w:left="720" w:hanging="720"/>
        <w:jc w:val="both"/>
        <w:rPr>
          <w:sz w:val="24"/>
          <w:szCs w:val="24"/>
        </w:rPr>
      </w:pPr>
      <w:r>
        <w:rPr>
          <w:sz w:val="24"/>
          <w:szCs w:val="24"/>
        </w:rPr>
        <w:t>A.</w:t>
      </w:r>
      <w:r>
        <w:rPr>
          <w:sz w:val="24"/>
          <w:szCs w:val="24"/>
        </w:rPr>
        <w:tab/>
      </w:r>
      <w:r w:rsidR="000678AF">
        <w:rPr>
          <w:sz w:val="24"/>
          <w:szCs w:val="24"/>
        </w:rPr>
        <w:t xml:space="preserve">Both the Hogan-Pope report and the IMM report </w:t>
      </w:r>
      <w:r>
        <w:rPr>
          <w:sz w:val="24"/>
          <w:szCs w:val="24"/>
        </w:rPr>
        <w:t xml:space="preserve">neglect to consider the aspects of sound ratemaking beyond cost recovery for the utility.  </w:t>
      </w:r>
      <w:r w:rsidRPr="00EC5DB5">
        <w:rPr>
          <w:sz w:val="24"/>
          <w:szCs w:val="24"/>
        </w:rPr>
        <w:t>As described in the text foundational to rate regulation, James C. Bonbright’s Principles of Public Utility Rates, these criteria are:</w:t>
      </w:r>
    </w:p>
    <w:p w:rsidR="000678AF" w:rsidRPr="00EC5DB5" w:rsidRDefault="000678AF" w:rsidP="00EC5DB5">
      <w:pPr>
        <w:spacing w:line="480" w:lineRule="auto"/>
        <w:ind w:left="720" w:firstLine="720"/>
        <w:jc w:val="both"/>
        <w:rPr>
          <w:sz w:val="24"/>
          <w:szCs w:val="24"/>
        </w:rPr>
      </w:pPr>
      <w:r w:rsidRPr="00EC5DB5">
        <w:rPr>
          <w:sz w:val="24"/>
          <w:szCs w:val="24"/>
        </w:rPr>
        <w:t>1.  Capital Attraction;</w:t>
      </w:r>
    </w:p>
    <w:p w:rsidR="000678AF" w:rsidRPr="00EC5DB5" w:rsidRDefault="000678AF" w:rsidP="000678AF">
      <w:pPr>
        <w:spacing w:line="480" w:lineRule="auto"/>
        <w:ind w:left="720" w:hanging="720"/>
        <w:jc w:val="both"/>
        <w:rPr>
          <w:sz w:val="24"/>
          <w:szCs w:val="24"/>
        </w:rPr>
      </w:pPr>
      <w:r w:rsidRPr="00EC5DB5">
        <w:rPr>
          <w:sz w:val="24"/>
          <w:szCs w:val="24"/>
        </w:rPr>
        <w:tab/>
      </w:r>
      <w:r w:rsidRPr="00EC5DB5">
        <w:rPr>
          <w:sz w:val="24"/>
          <w:szCs w:val="24"/>
        </w:rPr>
        <w:tab/>
        <w:t>2.  Consumer Rationing; and</w:t>
      </w:r>
    </w:p>
    <w:p w:rsidR="000678AF" w:rsidRPr="00EC5DB5" w:rsidRDefault="000678AF" w:rsidP="000678AF">
      <w:pPr>
        <w:spacing w:line="480" w:lineRule="auto"/>
        <w:ind w:left="720" w:hanging="720"/>
        <w:jc w:val="both"/>
        <w:rPr>
          <w:sz w:val="24"/>
          <w:szCs w:val="24"/>
        </w:rPr>
      </w:pPr>
      <w:r w:rsidRPr="00EC5DB5">
        <w:rPr>
          <w:sz w:val="24"/>
          <w:szCs w:val="24"/>
        </w:rPr>
        <w:tab/>
      </w:r>
      <w:r w:rsidRPr="00EC5DB5">
        <w:rPr>
          <w:sz w:val="24"/>
          <w:szCs w:val="24"/>
        </w:rPr>
        <w:tab/>
        <w:t>3.  Fairness to Ratepayers.</w:t>
      </w:r>
      <w:r w:rsidR="00EC5DB5">
        <w:rPr>
          <w:rStyle w:val="FootnoteReference"/>
          <w:szCs w:val="24"/>
        </w:rPr>
        <w:footnoteReference w:id="61"/>
      </w:r>
      <w:r w:rsidRPr="00EC5DB5">
        <w:rPr>
          <w:sz w:val="24"/>
          <w:szCs w:val="24"/>
        </w:rPr>
        <w:t xml:space="preserve"> </w:t>
      </w:r>
    </w:p>
    <w:p w:rsidR="005E4EB4" w:rsidRDefault="000678AF" w:rsidP="000678AF">
      <w:pPr>
        <w:spacing w:line="480" w:lineRule="auto"/>
        <w:ind w:left="720" w:hanging="720"/>
        <w:jc w:val="both"/>
        <w:rPr>
          <w:rStyle w:val="FootnoteReference"/>
          <w:sz w:val="24"/>
          <w:szCs w:val="24"/>
        </w:rPr>
      </w:pPr>
      <w:r w:rsidRPr="00EC5DB5">
        <w:rPr>
          <w:sz w:val="24"/>
          <w:szCs w:val="24"/>
        </w:rPr>
        <w:tab/>
        <w:t>While Bonbright elsewhere provides more detailed attributes of a sound rate structure, the above-listed objectives are considered primary “not only because of their widespread acceptance, but also because most of the more detailed objectives discussed in the literature are ancillary thereto.”</w:t>
      </w:r>
      <w:r w:rsidR="00EC5DB5" w:rsidRPr="00EC5DB5">
        <w:rPr>
          <w:rStyle w:val="FootnoteReference"/>
          <w:sz w:val="24"/>
          <w:szCs w:val="24"/>
        </w:rPr>
        <w:t xml:space="preserve"> </w:t>
      </w:r>
      <w:r w:rsidR="00EC5DB5" w:rsidRPr="00577352">
        <w:rPr>
          <w:rStyle w:val="FootnoteReference"/>
          <w:sz w:val="24"/>
          <w:szCs w:val="24"/>
        </w:rPr>
        <w:footnoteReference w:id="62"/>
      </w:r>
    </w:p>
    <w:p w:rsidR="005E4EB4" w:rsidRDefault="00EC5DB5" w:rsidP="005E4EB4">
      <w:pPr>
        <w:spacing w:line="480" w:lineRule="auto"/>
        <w:ind w:left="720" w:hanging="720"/>
        <w:jc w:val="both"/>
        <w:rPr>
          <w:sz w:val="24"/>
          <w:szCs w:val="24"/>
        </w:rPr>
      </w:pPr>
      <w:r>
        <w:rPr>
          <w:rStyle w:val="FootnoteReference"/>
          <w:sz w:val="24"/>
          <w:szCs w:val="24"/>
        </w:rPr>
        <w:tab/>
      </w:r>
      <w:r>
        <w:rPr>
          <w:rStyle w:val="FootnoteReference"/>
          <w:sz w:val="24"/>
          <w:szCs w:val="24"/>
        </w:rPr>
        <w:tab/>
      </w:r>
      <w:r>
        <w:rPr>
          <w:sz w:val="24"/>
          <w:szCs w:val="24"/>
        </w:rPr>
        <w:t>The Capital Attraction criteri</w:t>
      </w:r>
      <w:r w:rsidR="001F198A">
        <w:rPr>
          <w:sz w:val="24"/>
          <w:szCs w:val="24"/>
        </w:rPr>
        <w:t>on</w:t>
      </w:r>
      <w:r>
        <w:rPr>
          <w:sz w:val="24"/>
          <w:szCs w:val="24"/>
        </w:rPr>
        <w:t xml:space="preserve"> involves establishing rates sufficient to attract capital investments to the utility.  This is the only one of the three criteria that involves ensuring full cost recovery for the utility.</w:t>
      </w:r>
      <w:r w:rsidR="007A2422">
        <w:rPr>
          <w:sz w:val="24"/>
          <w:szCs w:val="24"/>
        </w:rPr>
        <w:t xml:space="preserve">   If the other criteria are ignored, and ratemaking was based solely on ensuring that utilities received cost recovery, then the Hogan-Pope and IMM report’s suggestions regarding transmission rate design </w:t>
      </w:r>
      <w:r w:rsidR="001F794E">
        <w:rPr>
          <w:sz w:val="24"/>
          <w:szCs w:val="24"/>
        </w:rPr>
        <w:t>might</w:t>
      </w:r>
      <w:r w:rsidR="007A2422">
        <w:rPr>
          <w:sz w:val="24"/>
          <w:szCs w:val="24"/>
        </w:rPr>
        <w:t xml:space="preserve"> be reasonable and appropriate.  However such a narrow focus on cost recovery</w:t>
      </w:r>
      <w:r w:rsidR="001F198A">
        <w:rPr>
          <w:sz w:val="24"/>
          <w:szCs w:val="24"/>
        </w:rPr>
        <w:t xml:space="preserve"> alone </w:t>
      </w:r>
      <w:r w:rsidR="007A2422">
        <w:rPr>
          <w:sz w:val="24"/>
          <w:szCs w:val="24"/>
        </w:rPr>
        <w:t xml:space="preserve">would represent poor ratemaking as it would fail to appropriately consider the incentive to avoid </w:t>
      </w:r>
      <w:r w:rsidR="001F794E">
        <w:rPr>
          <w:sz w:val="24"/>
          <w:szCs w:val="24"/>
        </w:rPr>
        <w:t xml:space="preserve">incurring </w:t>
      </w:r>
      <w:r w:rsidR="007A2422">
        <w:rPr>
          <w:sz w:val="24"/>
          <w:szCs w:val="24"/>
        </w:rPr>
        <w:t>uneconomical levels of additional transmission costs, and it would also fail to consider matters of ratepayer equity.</w:t>
      </w:r>
    </w:p>
    <w:p w:rsidR="007A2422" w:rsidRDefault="007A2422" w:rsidP="005E4EB4">
      <w:pPr>
        <w:spacing w:line="480" w:lineRule="auto"/>
        <w:ind w:left="720" w:hanging="720"/>
        <w:jc w:val="both"/>
        <w:rPr>
          <w:sz w:val="24"/>
          <w:szCs w:val="24"/>
        </w:rPr>
      </w:pPr>
      <w:r>
        <w:rPr>
          <w:sz w:val="24"/>
          <w:szCs w:val="24"/>
        </w:rPr>
        <w:tab/>
      </w:r>
      <w:r>
        <w:rPr>
          <w:sz w:val="24"/>
          <w:szCs w:val="24"/>
        </w:rPr>
        <w:tab/>
      </w:r>
      <w:r w:rsidR="001F198A" w:rsidRPr="001F198A">
        <w:rPr>
          <w:sz w:val="24"/>
          <w:szCs w:val="24"/>
        </w:rPr>
        <w:t xml:space="preserve">Put simply, </w:t>
      </w:r>
      <w:r w:rsidR="001F198A">
        <w:rPr>
          <w:sz w:val="24"/>
          <w:szCs w:val="24"/>
        </w:rPr>
        <w:t>the C</w:t>
      </w:r>
      <w:r w:rsidR="001F198A" w:rsidRPr="001F198A">
        <w:rPr>
          <w:sz w:val="24"/>
          <w:szCs w:val="24"/>
        </w:rPr>
        <w:t xml:space="preserve">onsumer </w:t>
      </w:r>
      <w:r w:rsidR="001F198A">
        <w:rPr>
          <w:sz w:val="24"/>
          <w:szCs w:val="24"/>
        </w:rPr>
        <w:t>R</w:t>
      </w:r>
      <w:r w:rsidR="001F198A" w:rsidRPr="001F198A">
        <w:rPr>
          <w:sz w:val="24"/>
          <w:szCs w:val="24"/>
        </w:rPr>
        <w:t xml:space="preserve">ationing </w:t>
      </w:r>
      <w:r w:rsidR="001F198A">
        <w:rPr>
          <w:sz w:val="24"/>
          <w:szCs w:val="24"/>
        </w:rPr>
        <w:t xml:space="preserve">criterion </w:t>
      </w:r>
      <w:r w:rsidR="001F198A" w:rsidRPr="001F198A">
        <w:rPr>
          <w:sz w:val="24"/>
          <w:szCs w:val="24"/>
        </w:rPr>
        <w:t>involves discouraging wasteful consumption of utility services, while promoting economically justified consumption of utility services.</w:t>
      </w:r>
      <w:r w:rsidR="001F198A">
        <w:rPr>
          <w:sz w:val="24"/>
          <w:szCs w:val="24"/>
        </w:rPr>
        <w:t xml:space="preserve"> </w:t>
      </w:r>
      <w:r w:rsidR="001F198A" w:rsidRPr="001F198A">
        <w:t xml:space="preserve"> </w:t>
      </w:r>
      <w:r w:rsidR="001F198A">
        <w:rPr>
          <w:sz w:val="24"/>
          <w:szCs w:val="24"/>
        </w:rPr>
        <w:t>Because both the past and future costs of the transmission grid are largely driven by the peak demands to which the grid must be sized, an efficient transmission rate design should impose costs on ratepayers in a manner that provides an incentive to</w:t>
      </w:r>
      <w:r w:rsidR="00031B35">
        <w:rPr>
          <w:sz w:val="24"/>
          <w:szCs w:val="24"/>
        </w:rPr>
        <w:t xml:space="preserve"> reasonably mitigate those costs by </w:t>
      </w:r>
      <w:r w:rsidR="00CD0FD7">
        <w:rPr>
          <w:sz w:val="24"/>
          <w:szCs w:val="24"/>
        </w:rPr>
        <w:t>reducing</w:t>
      </w:r>
      <w:r w:rsidR="00031B35">
        <w:rPr>
          <w:sz w:val="24"/>
          <w:szCs w:val="24"/>
        </w:rPr>
        <w:t xml:space="preserve"> their coincident peak demand</w:t>
      </w:r>
      <w:r w:rsidR="001F794E">
        <w:rPr>
          <w:sz w:val="24"/>
          <w:szCs w:val="24"/>
        </w:rPr>
        <w:t xml:space="preserve"> where economically appropriate</w:t>
      </w:r>
      <w:r w:rsidR="00031B35">
        <w:rPr>
          <w:sz w:val="24"/>
          <w:szCs w:val="24"/>
        </w:rPr>
        <w:t>.  The 4CP transmission rate design performs such a function.  An NCP rate design for transmission service would be inferior to a CP rate design, because a customer’s off-peak load does not significantly contribute to the incurrence of additional transmission costs, while the customer</w:t>
      </w:r>
      <w:r w:rsidR="00CD0FD7">
        <w:rPr>
          <w:sz w:val="24"/>
          <w:szCs w:val="24"/>
        </w:rPr>
        <w:t>’</w:t>
      </w:r>
      <w:r w:rsidR="00031B35">
        <w:rPr>
          <w:sz w:val="24"/>
          <w:szCs w:val="24"/>
        </w:rPr>
        <w:t>s coincident peak load does so c</w:t>
      </w:r>
      <w:r w:rsidR="00497F9B">
        <w:rPr>
          <w:sz w:val="24"/>
          <w:szCs w:val="24"/>
        </w:rPr>
        <w:t>ontribute.  An NCP rate design may also encourage a customer to reduce their NCP demand even when doing so provides no reduction in transmission system costs.  This mismatch between the incentive offered by the rate design and the incurrence of costs makes the NCP rate design inferior to the 4CP rate design with regards to transmission service from a consumer rationing perspective.</w:t>
      </w:r>
    </w:p>
    <w:p w:rsidR="001F794E" w:rsidRDefault="00497F9B" w:rsidP="001F794E">
      <w:pPr>
        <w:spacing w:line="480" w:lineRule="auto"/>
        <w:ind w:left="720" w:hanging="720"/>
        <w:jc w:val="both"/>
        <w:rPr>
          <w:sz w:val="24"/>
          <w:szCs w:val="24"/>
        </w:rPr>
      </w:pPr>
      <w:r>
        <w:rPr>
          <w:sz w:val="24"/>
          <w:szCs w:val="24"/>
        </w:rPr>
        <w:tab/>
      </w:r>
      <w:r>
        <w:rPr>
          <w:sz w:val="24"/>
          <w:szCs w:val="24"/>
        </w:rPr>
        <w:tab/>
      </w:r>
      <w:r w:rsidRPr="00497F9B">
        <w:rPr>
          <w:sz w:val="24"/>
          <w:szCs w:val="24"/>
        </w:rPr>
        <w:t>The Fairness to Ratepayers criterion addresses whether rates apportion costs in an equitable manner.</w:t>
      </w:r>
      <w:r>
        <w:rPr>
          <w:sz w:val="24"/>
          <w:szCs w:val="24"/>
        </w:rPr>
        <w:t xml:space="preserve">  Here again, cost causation is the primary issue.  It is fundamentally equitable to charge customers based on cost causation, and transmission system costs are primarily caused by coincident peak load.  Abandoning 4CP transmission rate design in favor of NCP rate design would be a step backwards in terms of ratepayer equity.</w:t>
      </w:r>
      <w:r w:rsidR="001F794E">
        <w:rPr>
          <w:sz w:val="24"/>
          <w:szCs w:val="24"/>
        </w:rPr>
        <w:br w:type="page"/>
      </w:r>
    </w:p>
    <w:p w:rsidR="00505FDB" w:rsidRDefault="00505FDB" w:rsidP="005E4EB4">
      <w:pPr>
        <w:spacing w:line="480" w:lineRule="auto"/>
        <w:ind w:left="720" w:hanging="720"/>
        <w:jc w:val="both"/>
        <w:rPr>
          <w:b/>
          <w:sz w:val="24"/>
          <w:szCs w:val="24"/>
        </w:rPr>
      </w:pPr>
      <w:r>
        <w:rPr>
          <w:b/>
          <w:sz w:val="24"/>
          <w:szCs w:val="24"/>
        </w:rPr>
        <w:t>Q.</w:t>
      </w:r>
      <w:r>
        <w:rPr>
          <w:b/>
          <w:sz w:val="24"/>
          <w:szCs w:val="24"/>
        </w:rPr>
        <w:tab/>
        <w:t>Please summarize your position regarding the Hogan-Pope report and the IMM report as cited by TCPA.</w:t>
      </w:r>
    </w:p>
    <w:p w:rsidR="005E4EB4" w:rsidRDefault="00B85CE5" w:rsidP="005E4EB4">
      <w:pPr>
        <w:spacing w:line="480" w:lineRule="auto"/>
        <w:ind w:left="720" w:hanging="720"/>
        <w:jc w:val="both"/>
        <w:rPr>
          <w:sz w:val="24"/>
          <w:szCs w:val="24"/>
        </w:rPr>
      </w:pPr>
      <w:r>
        <w:rPr>
          <w:sz w:val="24"/>
          <w:szCs w:val="24"/>
        </w:rPr>
        <w:t>A.</w:t>
      </w:r>
      <w:r w:rsidR="00497F9B">
        <w:rPr>
          <w:b/>
          <w:sz w:val="24"/>
          <w:szCs w:val="24"/>
        </w:rPr>
        <w:tab/>
      </w:r>
      <w:r w:rsidR="00CE1E87">
        <w:rPr>
          <w:sz w:val="24"/>
          <w:szCs w:val="24"/>
        </w:rPr>
        <w:t xml:space="preserve">The small portions of these reports that address transmission ratemaking </w:t>
      </w:r>
      <w:r w:rsidR="00497F9B">
        <w:rPr>
          <w:sz w:val="24"/>
          <w:szCs w:val="24"/>
        </w:rPr>
        <w:t xml:space="preserve">fail to consider overall ratepayer welfare, </w:t>
      </w:r>
      <w:r w:rsidR="00CE1E87">
        <w:rPr>
          <w:sz w:val="24"/>
          <w:szCs w:val="24"/>
        </w:rPr>
        <w:t>and</w:t>
      </w:r>
      <w:r w:rsidR="00497F9B">
        <w:rPr>
          <w:sz w:val="24"/>
          <w:szCs w:val="24"/>
        </w:rPr>
        <w:t xml:space="preserve"> they also fail to consider fundamentally important aspects of ratemaking beyond mere cost recovery.  The Hogan-Pope report and the IMM report </w:t>
      </w:r>
      <w:r w:rsidR="00505FDB">
        <w:rPr>
          <w:sz w:val="24"/>
          <w:szCs w:val="24"/>
        </w:rPr>
        <w:t xml:space="preserve">cited by TCPA </w:t>
      </w:r>
      <w:r w:rsidR="00497F9B">
        <w:rPr>
          <w:sz w:val="24"/>
          <w:szCs w:val="24"/>
        </w:rPr>
        <w:t xml:space="preserve">should </w:t>
      </w:r>
      <w:r w:rsidR="00CE1E87">
        <w:rPr>
          <w:sz w:val="24"/>
          <w:szCs w:val="24"/>
        </w:rPr>
        <w:t>not</w:t>
      </w:r>
      <w:r w:rsidR="00497F9B">
        <w:rPr>
          <w:sz w:val="24"/>
          <w:szCs w:val="24"/>
        </w:rPr>
        <w:t xml:space="preserve"> be heeded when it comes to </w:t>
      </w:r>
      <w:r w:rsidR="00505FDB">
        <w:rPr>
          <w:sz w:val="24"/>
          <w:szCs w:val="24"/>
        </w:rPr>
        <w:t>evaluating the merits of CenterPoint’s proposed 4CP transmission cost allocation and transmission rate design for IDR-metered customers.</w:t>
      </w:r>
    </w:p>
    <w:p w:rsidR="00505FDB" w:rsidRDefault="00505FDB" w:rsidP="005E4EB4">
      <w:pPr>
        <w:spacing w:line="480" w:lineRule="auto"/>
        <w:ind w:left="720" w:hanging="720"/>
        <w:jc w:val="both"/>
        <w:rPr>
          <w:b/>
          <w:sz w:val="24"/>
          <w:szCs w:val="24"/>
        </w:rPr>
      </w:pPr>
      <w:r>
        <w:rPr>
          <w:b/>
          <w:sz w:val="24"/>
          <w:szCs w:val="24"/>
        </w:rPr>
        <w:t>Q.</w:t>
      </w:r>
      <w:r>
        <w:rPr>
          <w:b/>
          <w:sz w:val="24"/>
          <w:szCs w:val="24"/>
        </w:rPr>
        <w:tab/>
        <w:t>Are there important and legitimate concerns raised by the Hogan-Pope report and the IMM report regarding transmission rates?</w:t>
      </w:r>
    </w:p>
    <w:p w:rsidR="00CD0FD7" w:rsidRDefault="00505FDB" w:rsidP="005E4EB4">
      <w:pPr>
        <w:spacing w:line="480" w:lineRule="auto"/>
        <w:ind w:left="720" w:hanging="720"/>
        <w:jc w:val="both"/>
        <w:rPr>
          <w:sz w:val="24"/>
          <w:szCs w:val="24"/>
        </w:rPr>
      </w:pPr>
      <w:r>
        <w:rPr>
          <w:sz w:val="24"/>
          <w:szCs w:val="24"/>
        </w:rPr>
        <w:t>A.</w:t>
      </w:r>
      <w:r>
        <w:rPr>
          <w:sz w:val="24"/>
          <w:szCs w:val="24"/>
        </w:rPr>
        <w:tab/>
        <w:t xml:space="preserve">Yes.  Both of the reports are correct to note concern with the significant increase in transmission rates over the years.  Instead of focusing on the 4CP rate design, however, it might be more fruitful for stakeholders concerned about transmission rates to instead consider an examination as to the costs that are being included in </w:t>
      </w:r>
      <w:r w:rsidR="00F91F9F">
        <w:rPr>
          <w:sz w:val="24"/>
          <w:szCs w:val="24"/>
        </w:rPr>
        <w:t xml:space="preserve">the </w:t>
      </w:r>
      <w:r>
        <w:rPr>
          <w:sz w:val="24"/>
          <w:szCs w:val="24"/>
        </w:rPr>
        <w:t>transmission cost of service</w:t>
      </w:r>
      <w:r w:rsidR="00F91F9F">
        <w:rPr>
          <w:sz w:val="24"/>
          <w:szCs w:val="24"/>
        </w:rPr>
        <w:t xml:space="preserve"> calculations for the TSPs, both in individual rate proceedings as well as under the transmission rule.  For example, Staff witness Murphy includes an extensive discussion of CenterPoint’s proposed functionalization of costs to transmission cost of service on pages 17 through 39 of his direct testimony in this proceeding.</w:t>
      </w:r>
    </w:p>
    <w:p w:rsidR="00505FDB" w:rsidRPr="00505FDB" w:rsidRDefault="00CD0FD7" w:rsidP="00CD0FD7">
      <w:pPr>
        <w:spacing w:line="480" w:lineRule="auto"/>
        <w:ind w:left="720" w:firstLine="720"/>
        <w:jc w:val="both"/>
        <w:rPr>
          <w:sz w:val="24"/>
          <w:szCs w:val="24"/>
        </w:rPr>
      </w:pPr>
      <w:r>
        <w:rPr>
          <w:sz w:val="24"/>
          <w:szCs w:val="24"/>
        </w:rPr>
        <w:t>Hypothetically speaking, even if it were established that the current 4CP rate design provides too much of an incentive to reduce load around the system peaks, adopting an NCP rate design would not be an appropriate way to address this concern.  Maintaining a coincident peak rate design but modifying it from the status quo would be more appropriate.  For example, as previously noted, the Commission has suggested the solution of broadening the peak period in the event that “gaming” the 4CP rate design is determined to be a problem.</w:t>
      </w:r>
      <w:r>
        <w:rPr>
          <w:rStyle w:val="FootnoteReference"/>
          <w:sz w:val="24"/>
          <w:szCs w:val="24"/>
        </w:rPr>
        <w:footnoteReference w:id="63"/>
      </w:r>
      <w:r>
        <w:rPr>
          <w:sz w:val="24"/>
          <w:szCs w:val="24"/>
        </w:rPr>
        <w:t xml:space="preserve">  In other words, broadening the 4CP peak period from four 15-minute intervals to four 30-minute intervals for 4CP customers would dilute the incentive to </w:t>
      </w:r>
      <w:r w:rsidR="0020387E">
        <w:rPr>
          <w:sz w:val="24"/>
          <w:szCs w:val="24"/>
        </w:rPr>
        <w:t>reduce</w:t>
      </w:r>
      <w:r>
        <w:rPr>
          <w:sz w:val="24"/>
          <w:szCs w:val="24"/>
        </w:rPr>
        <w:t xml:space="preserve"> load by requiring a greater degree of load shed for the same overall benefit.  This approach would also be consistent with PURA and cost causation, and would represent a less drasti</w:t>
      </w:r>
      <w:r w:rsidR="0020387E">
        <w:rPr>
          <w:sz w:val="24"/>
          <w:szCs w:val="24"/>
        </w:rPr>
        <w:t>c departure from the status-quo, while still addressing the concerns raised in the reports.</w:t>
      </w:r>
    </w:p>
    <w:p w:rsidR="005E4EB4" w:rsidRDefault="005E4EB4" w:rsidP="005E4EB4">
      <w:pPr>
        <w:spacing w:line="480" w:lineRule="auto"/>
        <w:ind w:left="720" w:hanging="720"/>
        <w:jc w:val="both"/>
        <w:rPr>
          <w:b/>
          <w:sz w:val="24"/>
          <w:szCs w:val="24"/>
        </w:rPr>
      </w:pPr>
    </w:p>
    <w:p w:rsidR="002A79A5" w:rsidRPr="008A52DE" w:rsidRDefault="002A79A5" w:rsidP="00F56BF6">
      <w:pPr>
        <w:pStyle w:val="Heading1"/>
        <w:numPr>
          <w:ilvl w:val="0"/>
          <w:numId w:val="1"/>
        </w:numPr>
        <w:spacing w:line="480" w:lineRule="auto"/>
        <w:jc w:val="both"/>
        <w:rPr>
          <w:sz w:val="24"/>
          <w:szCs w:val="24"/>
        </w:rPr>
      </w:pPr>
      <w:bookmarkStart w:id="17" w:name="_Toc394561928"/>
      <w:bookmarkStart w:id="18" w:name="_Toc11826706"/>
      <w:bookmarkStart w:id="19" w:name="_Toc15351344"/>
      <w:r w:rsidRPr="008A52DE">
        <w:rPr>
          <w:sz w:val="24"/>
          <w:szCs w:val="24"/>
        </w:rPr>
        <w:t>CONCLUSION</w:t>
      </w:r>
      <w:bookmarkEnd w:id="17"/>
      <w:bookmarkEnd w:id="18"/>
    </w:p>
    <w:bookmarkEnd w:id="19"/>
    <w:p w:rsidR="002A79A5" w:rsidRPr="008A52DE" w:rsidRDefault="002A79A5" w:rsidP="00F56BF6">
      <w:pPr>
        <w:pStyle w:val="BodyTextIndent2"/>
        <w:jc w:val="both"/>
        <w:rPr>
          <w:b/>
          <w:szCs w:val="24"/>
        </w:rPr>
      </w:pPr>
      <w:r w:rsidRPr="008A52DE">
        <w:rPr>
          <w:b/>
          <w:szCs w:val="24"/>
        </w:rPr>
        <w:t>Q.</w:t>
      </w:r>
      <w:r w:rsidRPr="008A52DE">
        <w:rPr>
          <w:b/>
          <w:szCs w:val="24"/>
        </w:rPr>
        <w:tab/>
      </w:r>
      <w:r w:rsidR="007E30F2" w:rsidRPr="008A52DE">
        <w:rPr>
          <w:b/>
          <w:szCs w:val="24"/>
        </w:rPr>
        <w:t>Please summarize your</w:t>
      </w:r>
      <w:r w:rsidR="00036857">
        <w:rPr>
          <w:b/>
          <w:szCs w:val="24"/>
        </w:rPr>
        <w:t xml:space="preserve"> cross-rebuttal</w:t>
      </w:r>
      <w:r w:rsidR="007E30F2" w:rsidRPr="008A52DE">
        <w:rPr>
          <w:b/>
          <w:szCs w:val="24"/>
        </w:rPr>
        <w:t xml:space="preserve"> recommendation</w:t>
      </w:r>
      <w:r w:rsidR="00036857">
        <w:rPr>
          <w:b/>
          <w:szCs w:val="24"/>
        </w:rPr>
        <w:t>s</w:t>
      </w:r>
      <w:r w:rsidR="007E30F2" w:rsidRPr="008A52DE">
        <w:rPr>
          <w:b/>
          <w:szCs w:val="24"/>
        </w:rPr>
        <w:t>.</w:t>
      </w:r>
    </w:p>
    <w:p w:rsidR="00902810" w:rsidRDefault="00F52D03" w:rsidP="006E04EF">
      <w:pPr>
        <w:spacing w:line="480" w:lineRule="auto"/>
        <w:ind w:left="720" w:hanging="720"/>
        <w:jc w:val="both"/>
        <w:rPr>
          <w:sz w:val="24"/>
          <w:szCs w:val="24"/>
        </w:rPr>
      </w:pPr>
      <w:r w:rsidRPr="008A52DE">
        <w:rPr>
          <w:sz w:val="24"/>
          <w:szCs w:val="24"/>
        </w:rPr>
        <w:t>A.</w:t>
      </w:r>
      <w:r w:rsidRPr="008A52DE">
        <w:rPr>
          <w:sz w:val="24"/>
          <w:szCs w:val="24"/>
        </w:rPr>
        <w:tab/>
      </w:r>
      <w:r w:rsidR="00F91F9F">
        <w:rPr>
          <w:sz w:val="24"/>
          <w:szCs w:val="24"/>
        </w:rPr>
        <w:t>My recommendations on cross-rebuttal are as follows:</w:t>
      </w:r>
    </w:p>
    <w:p w:rsidR="00F91F9F" w:rsidRDefault="00F91F9F" w:rsidP="00F91F9F">
      <w:pPr>
        <w:pStyle w:val="ListParagraph"/>
        <w:numPr>
          <w:ilvl w:val="0"/>
          <w:numId w:val="24"/>
        </w:numPr>
        <w:spacing w:line="480" w:lineRule="auto"/>
        <w:jc w:val="both"/>
      </w:pPr>
      <w:r>
        <w:t>TIEC witness Pollock’s proposal to “moderate” the update to the 4CP class allocation factor should be rejected, and rates should be set at cost using the ERCOT 4CP class allocation factor.</w:t>
      </w:r>
    </w:p>
    <w:p w:rsidR="00F91F9F" w:rsidRDefault="00F91F9F" w:rsidP="00F91F9F">
      <w:pPr>
        <w:pStyle w:val="ListParagraph"/>
        <w:numPr>
          <w:ilvl w:val="0"/>
          <w:numId w:val="24"/>
        </w:numPr>
        <w:spacing w:line="480" w:lineRule="auto"/>
        <w:jc w:val="both"/>
      </w:pPr>
      <w:r>
        <w:t xml:space="preserve">TIEC witness Pollock’s proposal in opposition to CenterPoint’s “zeroing out” of the TCRF rider and rates should be rejected, as including transmission cost recovery in base rates mitigates the rate shock concerns that Mr. Pollock </w:t>
      </w:r>
      <w:r w:rsidR="00DA4869">
        <w:t>expresses with regard to updating the 4CP allocation factor.  CenterPoint’s proposal is consistent with the TCRF rule and past precedent.</w:t>
      </w:r>
    </w:p>
    <w:p w:rsidR="00DA4869" w:rsidRDefault="00DA4869" w:rsidP="00F91F9F">
      <w:pPr>
        <w:pStyle w:val="ListParagraph"/>
        <w:numPr>
          <w:ilvl w:val="0"/>
          <w:numId w:val="24"/>
        </w:numPr>
        <w:spacing w:line="480" w:lineRule="auto"/>
        <w:jc w:val="both"/>
      </w:pPr>
      <w:r>
        <w:t xml:space="preserve">HEB’s and TCPA’s positions that </w:t>
      </w:r>
      <w:r>
        <w:rPr>
          <w:i/>
        </w:rPr>
        <w:t>transmission</w:t>
      </w:r>
      <w:r>
        <w:t xml:space="preserve"> costs should be allocated based on NCP should be rejected.  CenterPoint’s proposal to use a 4CP allocator is appropriate and consistent with cost causation and precedent, provided the ERCOT 4CP allocator is applied instead of the CenterPoint 4CP allocator.</w:t>
      </w:r>
    </w:p>
    <w:p w:rsidR="00DA4869" w:rsidRPr="00F91F9F" w:rsidRDefault="00DA4869" w:rsidP="00F91F9F">
      <w:pPr>
        <w:pStyle w:val="ListParagraph"/>
        <w:numPr>
          <w:ilvl w:val="0"/>
          <w:numId w:val="24"/>
        </w:numPr>
        <w:spacing w:line="480" w:lineRule="auto"/>
        <w:jc w:val="both"/>
      </w:pPr>
      <w:r>
        <w:t xml:space="preserve">HEB’s and TCPA’s positions that </w:t>
      </w:r>
      <w:r w:rsidRPr="00DA4869">
        <w:rPr>
          <w:i/>
        </w:rPr>
        <w:t>transmission</w:t>
      </w:r>
      <w:r>
        <w:t xml:space="preserve"> rates should be designed based on an NCP rate design for IDR-metered customers should be rejected.  </w:t>
      </w:r>
      <w:r w:rsidR="001F794E">
        <w:t>CenterPoint’s proposed</w:t>
      </w:r>
      <w:r>
        <w:t xml:space="preserve"> 4CP rate design for transmission rates is reasonable, appropriate, and consistent with cost causation, PURA, and Commission precedent. </w:t>
      </w:r>
    </w:p>
    <w:p w:rsidR="002A79A5" w:rsidRPr="008A52DE" w:rsidRDefault="002A79A5" w:rsidP="002A79A5">
      <w:pPr>
        <w:pStyle w:val="BodyTextIndent2"/>
        <w:jc w:val="both"/>
      </w:pPr>
      <w:r w:rsidRPr="008A52DE">
        <w:rPr>
          <w:b/>
        </w:rPr>
        <w:t>Q.</w:t>
      </w:r>
      <w:r w:rsidRPr="008A52DE">
        <w:rPr>
          <w:b/>
        </w:rPr>
        <w:tab/>
        <w:t xml:space="preserve">Does this complete your </w:t>
      </w:r>
      <w:r w:rsidR="00A420A3">
        <w:rPr>
          <w:b/>
        </w:rPr>
        <w:t>cross-rebuttal</w:t>
      </w:r>
      <w:r w:rsidRPr="008A52DE">
        <w:rPr>
          <w:b/>
        </w:rPr>
        <w:t xml:space="preserve"> testimony?</w:t>
      </w:r>
    </w:p>
    <w:p w:rsidR="00A420A3" w:rsidRDefault="006F275F" w:rsidP="00DA4869">
      <w:pPr>
        <w:pStyle w:val="BodyTextIndent2"/>
        <w:jc w:val="both"/>
      </w:pPr>
      <w:r w:rsidRPr="008A52DE">
        <w:t>A.</w:t>
      </w:r>
      <w:r w:rsidRPr="008A52DE">
        <w:tab/>
        <w:t>Yes</w:t>
      </w:r>
      <w:r w:rsidR="00D02E98" w:rsidRPr="008A52DE">
        <w:t>.</w:t>
      </w:r>
    </w:p>
    <w:p w:rsidR="002A79A5" w:rsidRPr="0092752C" w:rsidRDefault="002A79A5" w:rsidP="00D02E98">
      <w:pPr>
        <w:pStyle w:val="BodyTextIndent2"/>
        <w:jc w:val="both"/>
        <w:sectPr w:rsidR="002A79A5" w:rsidRPr="0092752C" w:rsidSect="00C43A3A">
          <w:headerReference w:type="even" r:id="rId10"/>
          <w:headerReference w:type="default" r:id="rId11"/>
          <w:footerReference w:type="even" r:id="rId12"/>
          <w:footerReference w:type="default" r:id="rId13"/>
          <w:pgSz w:w="12240" w:h="15840" w:code="1"/>
          <w:pgMar w:top="1440" w:right="1440" w:bottom="1440" w:left="1440" w:header="720" w:footer="720" w:gutter="0"/>
          <w:lnNumType w:countBy="1"/>
          <w:pgNumType w:start="0"/>
          <w:cols w:space="720"/>
          <w:titlePg/>
          <w:docGrid w:linePitch="272"/>
        </w:sectPr>
      </w:pPr>
    </w:p>
    <w:p w:rsidR="009064DA" w:rsidRDefault="009064DA" w:rsidP="009064DA">
      <w:pPr>
        <w:jc w:val="both"/>
        <w:rPr>
          <w:sz w:val="24"/>
          <w:szCs w:val="24"/>
        </w:rPr>
      </w:pPr>
    </w:p>
    <w:p w:rsidR="009064DA" w:rsidRDefault="009064DA" w:rsidP="009064DA">
      <w:pPr>
        <w:jc w:val="both"/>
        <w:rPr>
          <w:sz w:val="24"/>
          <w:szCs w:val="24"/>
        </w:rPr>
      </w:pPr>
    </w:p>
    <w:p w:rsidR="009064DA" w:rsidRDefault="009064DA" w:rsidP="009064DA">
      <w:pPr>
        <w:jc w:val="both"/>
        <w:rPr>
          <w:sz w:val="24"/>
          <w:szCs w:val="24"/>
        </w:rPr>
      </w:pPr>
    </w:p>
    <w:p w:rsidR="009064DA" w:rsidRDefault="009064DA" w:rsidP="009064DA">
      <w:pPr>
        <w:jc w:val="both"/>
        <w:rPr>
          <w:sz w:val="24"/>
          <w:szCs w:val="24"/>
        </w:rPr>
      </w:pPr>
    </w:p>
    <w:p w:rsidR="009064DA" w:rsidRDefault="009064DA" w:rsidP="009064DA">
      <w:pPr>
        <w:jc w:val="both"/>
        <w:rPr>
          <w:sz w:val="24"/>
          <w:szCs w:val="24"/>
        </w:rPr>
      </w:pPr>
    </w:p>
    <w:p w:rsidR="009064DA" w:rsidRDefault="009064DA" w:rsidP="009064DA">
      <w:pPr>
        <w:jc w:val="both"/>
        <w:rPr>
          <w:sz w:val="24"/>
          <w:szCs w:val="24"/>
        </w:rPr>
      </w:pPr>
    </w:p>
    <w:p w:rsidR="009064DA" w:rsidRDefault="009064DA" w:rsidP="009064DA">
      <w:pPr>
        <w:jc w:val="both"/>
        <w:rPr>
          <w:sz w:val="24"/>
          <w:szCs w:val="24"/>
        </w:rPr>
      </w:pPr>
    </w:p>
    <w:p w:rsidR="009064DA" w:rsidRDefault="009064DA" w:rsidP="009064DA">
      <w:pPr>
        <w:jc w:val="both"/>
        <w:rPr>
          <w:sz w:val="24"/>
          <w:szCs w:val="24"/>
        </w:rPr>
      </w:pPr>
    </w:p>
    <w:p w:rsidR="009064DA" w:rsidRDefault="009064DA" w:rsidP="009064DA">
      <w:pPr>
        <w:jc w:val="both"/>
        <w:rPr>
          <w:sz w:val="24"/>
          <w:szCs w:val="24"/>
        </w:rPr>
      </w:pPr>
    </w:p>
    <w:p w:rsidR="009064DA" w:rsidRDefault="009064DA" w:rsidP="009064DA">
      <w:pPr>
        <w:jc w:val="both"/>
        <w:rPr>
          <w:sz w:val="24"/>
          <w:szCs w:val="24"/>
        </w:rPr>
      </w:pPr>
    </w:p>
    <w:p w:rsidR="009064DA" w:rsidRDefault="009064DA" w:rsidP="009064DA">
      <w:pPr>
        <w:jc w:val="both"/>
        <w:rPr>
          <w:sz w:val="24"/>
          <w:szCs w:val="24"/>
        </w:rPr>
      </w:pPr>
    </w:p>
    <w:p w:rsidR="009064DA" w:rsidRDefault="009064DA" w:rsidP="009064DA">
      <w:pPr>
        <w:jc w:val="both"/>
        <w:rPr>
          <w:sz w:val="24"/>
          <w:szCs w:val="24"/>
        </w:rPr>
      </w:pPr>
    </w:p>
    <w:p w:rsidR="009064DA" w:rsidRDefault="009064DA" w:rsidP="009064DA">
      <w:pPr>
        <w:jc w:val="both"/>
        <w:rPr>
          <w:sz w:val="24"/>
          <w:szCs w:val="24"/>
        </w:rPr>
      </w:pPr>
    </w:p>
    <w:p w:rsidR="009064DA" w:rsidRDefault="009064DA" w:rsidP="009064DA">
      <w:pPr>
        <w:jc w:val="both"/>
        <w:rPr>
          <w:sz w:val="24"/>
          <w:szCs w:val="24"/>
        </w:rPr>
      </w:pPr>
    </w:p>
    <w:p w:rsidR="009064DA" w:rsidRDefault="009064DA" w:rsidP="009064DA">
      <w:pPr>
        <w:jc w:val="both"/>
        <w:rPr>
          <w:sz w:val="24"/>
          <w:szCs w:val="24"/>
        </w:rPr>
      </w:pPr>
    </w:p>
    <w:p w:rsidR="009064DA" w:rsidRPr="0058383F" w:rsidRDefault="009064DA" w:rsidP="009064DA">
      <w:pPr>
        <w:jc w:val="center"/>
        <w:rPr>
          <w:b/>
          <w:sz w:val="48"/>
          <w:szCs w:val="24"/>
        </w:rPr>
      </w:pPr>
      <w:r w:rsidRPr="0058383F">
        <w:rPr>
          <w:b/>
          <w:sz w:val="48"/>
          <w:szCs w:val="24"/>
        </w:rPr>
        <w:t>WORKPAPERS</w:t>
      </w:r>
    </w:p>
    <w:p w:rsidR="009C107D" w:rsidRPr="004046C6" w:rsidRDefault="009C107D" w:rsidP="00976D95">
      <w:pPr>
        <w:jc w:val="both"/>
        <w:rPr>
          <w:sz w:val="24"/>
          <w:szCs w:val="24"/>
        </w:rPr>
      </w:pPr>
    </w:p>
    <w:sectPr w:rsidR="009C107D" w:rsidRPr="004046C6" w:rsidSect="004046C6">
      <w:headerReference w:type="default" r:id="rId14"/>
      <w:footerReference w:type="default" r:id="rId15"/>
      <w:pgSz w:w="12240" w:h="15840" w:code="1"/>
      <w:pgMar w:top="1440" w:right="1440" w:bottom="1440" w:left="1440" w:header="720" w:footer="72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5BA8" w:rsidRDefault="00E45BA8">
      <w:r>
        <w:separator/>
      </w:r>
    </w:p>
  </w:endnote>
  <w:endnote w:type="continuationSeparator" w:id="0">
    <w:p w:rsidR="00E45BA8" w:rsidRDefault="00E45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sig w:usb0="00000003" w:usb1="00000000" w:usb2="00000000" w:usb3="00000000" w:csb0="00000001" w:csb1="000002C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1794" w:rsidRDefault="00A61794">
    <w:pPr>
      <w:rPr>
        <w:sz w:val="16"/>
        <w:szCs w:val="16"/>
      </w:rPr>
    </w:pPr>
    <w:r>
      <w:rPr>
        <w:noProof/>
      </w:rPr>
      <mc:AlternateContent>
        <mc:Choice Requires="wps">
          <w:drawing>
            <wp:anchor distT="0" distB="0" distL="63500" distR="63500" simplePos="0" relativeHeight="251658240" behindDoc="0" locked="0" layoutInCell="0" allowOverlap="1" wp14:anchorId="372E0AAF" wp14:editId="7C5CBBDB">
              <wp:simplePos x="0" y="0"/>
              <wp:positionH relativeFrom="page">
                <wp:posOffset>533400</wp:posOffset>
              </wp:positionH>
              <wp:positionV relativeFrom="paragraph">
                <wp:posOffset>0</wp:posOffset>
              </wp:positionV>
              <wp:extent cx="6946900" cy="194945"/>
              <wp:effectExtent l="0" t="0" r="6350" b="508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6900" cy="19494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61794" w:rsidRDefault="00A61794">
                          <w:pPr>
                            <w:keepNext/>
                            <w:keepLines/>
                            <w:tabs>
                              <w:tab w:val="right" w:pos="10670"/>
                            </w:tabs>
                            <w:ind w:left="5112"/>
                            <w:rPr>
                              <w:rFonts w:ascii="Arial" w:hAnsi="Arial" w:cs="Arial"/>
                              <w:b/>
                              <w:bCs/>
                            </w:rPr>
                          </w:pPr>
                          <w:r>
                            <w:rPr>
                              <w:rFonts w:ascii="Arial" w:hAnsi="Arial" w:cs="Arial"/>
                              <w:sz w:val="22"/>
                              <w:szCs w:val="22"/>
                            </w:rPr>
                            <w:t>72</w:t>
                          </w:r>
                          <w:r>
                            <w:rPr>
                              <w:rFonts w:ascii="Arial" w:hAnsi="Arial" w:cs="Arial"/>
                              <w:sz w:val="22"/>
                              <w:szCs w:val="22"/>
                            </w:rPr>
                            <w:tab/>
                          </w:r>
                          <w:r>
                            <w:rPr>
                              <w:rFonts w:ascii="Arial" w:hAnsi="Arial" w:cs="Arial"/>
                              <w:b/>
                              <w:bCs/>
                            </w:rPr>
                            <w:fldChar w:fldCharType="begin"/>
                          </w:r>
                          <w:r>
                            <w:rPr>
                              <w:rFonts w:ascii="Arial" w:hAnsi="Arial" w:cs="Arial"/>
                              <w:b/>
                              <w:bCs/>
                            </w:rPr>
                            <w:instrText xml:space="preserve"> PAGE </w:instrText>
                          </w:r>
                          <w:r>
                            <w:rPr>
                              <w:rFonts w:ascii="Arial" w:hAnsi="Arial" w:cs="Arial"/>
                              <w:b/>
                              <w:bCs/>
                            </w:rPr>
                            <w:fldChar w:fldCharType="separate"/>
                          </w:r>
                          <w:r>
                            <w:rPr>
                              <w:rFonts w:ascii="Arial" w:hAnsi="Arial" w:cs="Arial"/>
                              <w:b/>
                              <w:bCs/>
                              <w:noProof/>
                            </w:rPr>
                            <w:t>84</w:t>
                          </w:r>
                          <w:r>
                            <w:rPr>
                              <w:rFonts w:ascii="Arial" w:hAnsi="Arial" w:cs="Arial"/>
                              <w:b/>
                              <w:bC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2E0AAF" id="_x0000_t202" coordsize="21600,21600" o:spt="202" path="m,l,21600r21600,l21600,xe">
              <v:stroke joinstyle="miter"/>
              <v:path gradientshapeok="t" o:connecttype="rect"/>
            </v:shapetype>
            <v:shape id="Text Box 2" o:spid="_x0000_s1027" type="#_x0000_t202" style="position:absolute;margin-left:42pt;margin-top:0;width:547pt;height:15.35pt;z-index:251658240;visibility:visible;mso-wrap-style:square;mso-width-percent:0;mso-height-percent:0;mso-wrap-distance-left:5pt;mso-wrap-distance-top:0;mso-wrap-distance-right: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" o:allowincell="f" stroked="f">
              <v:fill opacity="0"/>
              <v:textbox inset="0,0,0,0">
                <w:txbxContent>
                  <w:p w:rsidR="00A61794" w:rsidRDefault="00A61794">
                    <w:pPr>
                      <w:keepNext/>
                      <w:keepLines/>
                      <w:tabs>
                        <w:tab w:val="right" w:pos="10670"/>
                      </w:tabs>
                      <w:ind w:left="5112"/>
                      <w:rPr>
                        <w:rFonts w:ascii="Arial" w:hAnsi="Arial" w:cs="Arial"/>
                        <w:b/>
                        <w:bCs/>
                      </w:rPr>
                    </w:pPr>
                    <w:r>
                      <w:rPr>
                        <w:rFonts w:ascii="Arial" w:hAnsi="Arial" w:cs="Arial"/>
                        <w:sz w:val="22"/>
                        <w:szCs w:val="22"/>
                      </w:rPr>
                      <w:t>72</w:t>
                    </w:r>
                    <w:r>
                      <w:rPr>
                        <w:rFonts w:ascii="Arial" w:hAnsi="Arial" w:cs="Arial"/>
                        <w:sz w:val="22"/>
                        <w:szCs w:val="22"/>
                      </w:rPr>
                      <w:tab/>
                    </w:r>
                    <w:r>
                      <w:rPr>
                        <w:rFonts w:ascii="Arial" w:hAnsi="Arial" w:cs="Arial"/>
                        <w:b/>
                        <w:bCs/>
                      </w:rPr>
                      <w:fldChar w:fldCharType="begin"/>
                    </w:r>
                    <w:r>
                      <w:rPr>
                        <w:rFonts w:ascii="Arial" w:hAnsi="Arial" w:cs="Arial"/>
                        <w:b/>
                        <w:bCs/>
                      </w:rPr>
                      <w:instrText xml:space="preserve"> PAGE </w:instrText>
                    </w:r>
                    <w:r>
                      <w:rPr>
                        <w:rFonts w:ascii="Arial" w:hAnsi="Arial" w:cs="Arial"/>
                        <w:b/>
                        <w:bCs/>
                      </w:rPr>
                      <w:fldChar w:fldCharType="separate"/>
                    </w:r>
                    <w:r>
                      <w:rPr>
                        <w:rFonts w:ascii="Arial" w:hAnsi="Arial" w:cs="Arial"/>
                        <w:b/>
                        <w:bCs/>
                        <w:noProof/>
                      </w:rPr>
                      <w:t>84</w:t>
                    </w:r>
                    <w:r>
                      <w:rPr>
                        <w:rFonts w:ascii="Arial" w:hAnsi="Arial" w:cs="Arial"/>
                        <w:b/>
                        <w:bCs/>
                      </w:rPr>
                      <w:fldChar w:fldCharType="end"/>
                    </w:r>
                  </w:p>
                </w:txbxContent>
              </v:textbox>
              <w10:wrap type="square" anchorx="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1794" w:rsidRPr="002D0161" w:rsidRDefault="00A61794" w:rsidP="002D0161">
    <w:pPr>
      <w:pStyle w:val="Footer"/>
      <w:pBdr>
        <w:top w:val="single" w:sz="4" w:space="1" w:color="auto"/>
      </w:pBdr>
      <w:jc w:val="both"/>
    </w:pPr>
    <w:r>
      <w:t>Cross-Rebuttal Testimony of William B. Abbott</w:t>
    </w:r>
    <w:r>
      <w:tab/>
    </w:r>
    <w:r>
      <w:ptab w:relativeTo="margin" w:alignment="right" w:leader="none"/>
    </w:r>
    <w:r>
      <w:t>June 19, 2019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1794" w:rsidRPr="009064DA" w:rsidRDefault="00A61794" w:rsidP="009064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5BA8" w:rsidRDefault="00E45BA8">
      <w:r>
        <w:separator/>
      </w:r>
    </w:p>
  </w:footnote>
  <w:footnote w:type="continuationSeparator" w:id="0">
    <w:p w:rsidR="00E45BA8" w:rsidRDefault="00E45BA8">
      <w:r>
        <w:continuationSeparator/>
      </w:r>
    </w:p>
  </w:footnote>
  <w:footnote w:id="1">
    <w:p w:rsidR="00A61794" w:rsidRDefault="00A61794" w:rsidP="0009369D">
      <w:pPr>
        <w:pStyle w:val="FootnoteText"/>
        <w:spacing w:after="120"/>
        <w:ind w:firstLine="720"/>
        <w:jc w:val="both"/>
      </w:pPr>
      <w:r>
        <w:rPr>
          <w:rStyle w:val="FootnoteReference"/>
        </w:rPr>
        <w:footnoteRef/>
      </w:r>
      <w:r>
        <w:t xml:space="preserve"> Direct Testimony of George W. Presses on Behalf of H-E-B, LP (June 6, 2019).</w:t>
      </w:r>
    </w:p>
  </w:footnote>
  <w:footnote w:id="2">
    <w:p w:rsidR="00A61794" w:rsidRDefault="00A61794" w:rsidP="0009369D">
      <w:pPr>
        <w:pStyle w:val="FootnoteText"/>
        <w:spacing w:after="120"/>
        <w:ind w:firstLine="720"/>
        <w:jc w:val="both"/>
      </w:pPr>
      <w:r>
        <w:rPr>
          <w:rStyle w:val="FootnoteReference"/>
        </w:rPr>
        <w:footnoteRef/>
      </w:r>
      <w:r>
        <w:t xml:space="preserve"> Texas Competitive Power Advocates Statement of Position (June 12, 2019).</w:t>
      </w:r>
    </w:p>
  </w:footnote>
  <w:footnote w:id="3">
    <w:p w:rsidR="00A61794" w:rsidRDefault="00A61794" w:rsidP="0009369D">
      <w:pPr>
        <w:pStyle w:val="FootnoteText"/>
        <w:spacing w:after="120"/>
        <w:ind w:firstLine="720"/>
        <w:jc w:val="both"/>
      </w:pPr>
      <w:r>
        <w:rPr>
          <w:rStyle w:val="FootnoteReference"/>
        </w:rPr>
        <w:footnoteRef/>
      </w:r>
      <w:r>
        <w:t xml:space="preserve"> Direct Testimony of Jeffry Pollock on Behalf of Texas Industrial Energy Consumers (June 6, 2019).</w:t>
      </w:r>
    </w:p>
  </w:footnote>
  <w:footnote w:id="4">
    <w:p w:rsidR="00A61794" w:rsidRDefault="00A61794" w:rsidP="0009369D">
      <w:pPr>
        <w:pStyle w:val="FootnoteText"/>
        <w:spacing w:after="120"/>
        <w:ind w:firstLine="720"/>
        <w:jc w:val="both"/>
      </w:pPr>
      <w:r>
        <w:rPr>
          <w:rStyle w:val="FootnoteReference"/>
        </w:rPr>
        <w:footnoteRef/>
      </w:r>
      <w:r>
        <w:t xml:space="preserve"> Preliminary Order at bates 8 and 10 (May 9, 2019).</w:t>
      </w:r>
    </w:p>
  </w:footnote>
  <w:footnote w:id="5">
    <w:p w:rsidR="00A61794" w:rsidRDefault="00A61794" w:rsidP="0009369D">
      <w:pPr>
        <w:pStyle w:val="FootnoteText"/>
        <w:ind w:firstLine="720"/>
        <w:jc w:val="both"/>
      </w:pPr>
      <w:r>
        <w:rPr>
          <w:rStyle w:val="FootnoteReference"/>
        </w:rPr>
        <w:footnoteRef/>
      </w:r>
      <w:r>
        <w:t xml:space="preserve"> </w:t>
      </w:r>
      <w:r w:rsidRPr="00AF6CAB">
        <w:t>Public Utility Regulatory Act</w:t>
      </w:r>
      <w:r>
        <w:t>, Tex. Util. Code Ann. §§ 11.001-58.302 (West 2016 &amp; Supp. 2017), §§ 59.001-66.016 (West 2007 &amp; Supp. 2017) (PURA).</w:t>
      </w:r>
    </w:p>
  </w:footnote>
  <w:footnote w:id="6">
    <w:p w:rsidR="00A61794" w:rsidRDefault="00A61794" w:rsidP="0009369D">
      <w:pPr>
        <w:pStyle w:val="FootnoteText"/>
        <w:spacing w:after="120"/>
        <w:ind w:firstLine="720"/>
        <w:jc w:val="both"/>
      </w:pPr>
      <w:r>
        <w:rPr>
          <w:rStyle w:val="FootnoteReference"/>
        </w:rPr>
        <w:footnoteRef/>
      </w:r>
      <w:r>
        <w:t xml:space="preserve"> Direct Testimony of Brian T. Murphy, Rate Regulation Division, Public Utility Commission of Texas at bates 44 – 47 (June 12, 2019).  Direct Testimony of Jeffry Pollock on Behalf of Texas Industrial Energy Consumers at bates 11 – 17 (June 6, 2019).</w:t>
      </w:r>
    </w:p>
  </w:footnote>
  <w:footnote w:id="7">
    <w:p w:rsidR="00A61794" w:rsidRDefault="00A61794" w:rsidP="0009369D">
      <w:pPr>
        <w:pStyle w:val="FootnoteText"/>
        <w:ind w:firstLine="720"/>
        <w:jc w:val="both"/>
      </w:pPr>
      <w:r>
        <w:rPr>
          <w:rStyle w:val="FootnoteReference"/>
        </w:rPr>
        <w:footnoteRef/>
      </w:r>
      <w:r>
        <w:t xml:space="preserve"> Note that CenterPoint proposes that certain distribution costs be allocated using other, non-demand-related allocation factors, such as weighted number of customers.  The allocation of these non-demand-related costs does not appear to be implicated by the testimonies I discuss here, and therefore my discussion will be limited to the demand-related costs.</w:t>
      </w:r>
    </w:p>
  </w:footnote>
  <w:footnote w:id="8">
    <w:p w:rsidR="00A61794" w:rsidRDefault="00A61794" w:rsidP="0079794E">
      <w:pPr>
        <w:pStyle w:val="FootnoteText"/>
        <w:ind w:firstLine="720"/>
        <w:jc w:val="both"/>
      </w:pPr>
      <w:r>
        <w:rPr>
          <w:rStyle w:val="FootnoteReference"/>
        </w:rPr>
        <w:footnoteRef/>
      </w:r>
      <w:r>
        <w:t xml:space="preserve"> Direct Testimony of Jeffry Pollock on Behalf of Texas Industrial Energy Consumers at bates 8 and 24 (June 6, 2019).</w:t>
      </w:r>
    </w:p>
  </w:footnote>
  <w:footnote w:id="9">
    <w:p w:rsidR="00A61794" w:rsidRDefault="00A61794" w:rsidP="0009369D">
      <w:pPr>
        <w:pStyle w:val="FootnoteText"/>
        <w:spacing w:after="120"/>
        <w:ind w:firstLine="720"/>
        <w:jc w:val="both"/>
      </w:pPr>
      <w:r>
        <w:rPr>
          <w:rStyle w:val="FootnoteReference"/>
        </w:rPr>
        <w:footnoteRef/>
      </w:r>
      <w:r>
        <w:t xml:space="preserve"> Direct Testimony of Jeffry Pollock on Behalf of Texas Industrial Energy Consumers at bates 37 - 38 (June 6, 2019).</w:t>
      </w:r>
    </w:p>
  </w:footnote>
  <w:footnote w:id="10">
    <w:p w:rsidR="00A61794" w:rsidRDefault="00A61794" w:rsidP="0009369D">
      <w:pPr>
        <w:pStyle w:val="FootnoteText"/>
        <w:spacing w:after="120"/>
        <w:ind w:firstLine="720"/>
        <w:jc w:val="both"/>
      </w:pPr>
      <w:r>
        <w:rPr>
          <w:rStyle w:val="FootnoteReference"/>
        </w:rPr>
        <w:footnoteRef/>
      </w:r>
      <w:r>
        <w:t xml:space="preserve"> Direct Testimony of Brian T. Murphy, Rate Regulation Division, Public Utility Commission of Texas at bates 52 - 56 (June 12, 2019).</w:t>
      </w:r>
    </w:p>
  </w:footnote>
  <w:footnote w:id="11">
    <w:p w:rsidR="00A61794" w:rsidRDefault="00A61794" w:rsidP="0009369D">
      <w:pPr>
        <w:pStyle w:val="FootnoteText"/>
        <w:spacing w:after="120"/>
        <w:ind w:firstLine="720"/>
        <w:jc w:val="both"/>
      </w:pPr>
      <w:r>
        <w:rPr>
          <w:rStyle w:val="FootnoteReference"/>
        </w:rPr>
        <w:footnoteRef/>
      </w:r>
      <w:r>
        <w:t xml:space="preserve"> Not necessary in this proceeding.</w:t>
      </w:r>
    </w:p>
  </w:footnote>
  <w:footnote w:id="12">
    <w:p w:rsidR="00A61794" w:rsidRPr="00B758CA" w:rsidRDefault="00A61794" w:rsidP="0009369D">
      <w:pPr>
        <w:pStyle w:val="FootnoteText"/>
        <w:spacing w:after="120"/>
        <w:ind w:firstLine="720"/>
        <w:jc w:val="both"/>
      </w:pPr>
      <w:r>
        <w:rPr>
          <w:rStyle w:val="FootnoteReference"/>
        </w:rPr>
        <w:footnoteRef/>
      </w:r>
      <w:r>
        <w:rPr>
          <w:i/>
        </w:rPr>
        <w:t>Application of Entergy Texas, Inc. for Authority to Change Rates, Reconcile Fuel Costs, and Obtain Deferred Accounting Treatment</w:t>
      </w:r>
      <w:r>
        <w:t>, Docket No. 39896, Proposal for Decision at 284 (Jul. 6, 2012).</w:t>
      </w:r>
    </w:p>
  </w:footnote>
  <w:footnote w:id="13">
    <w:p w:rsidR="00A61794" w:rsidRDefault="00A61794" w:rsidP="0009369D">
      <w:pPr>
        <w:pStyle w:val="FootnoteText"/>
        <w:spacing w:after="120"/>
        <w:ind w:firstLine="720"/>
        <w:jc w:val="both"/>
      </w:pPr>
      <w:r>
        <w:rPr>
          <w:rStyle w:val="FootnoteReference"/>
        </w:rPr>
        <w:footnoteRef/>
      </w:r>
      <w:r>
        <w:t xml:space="preserve"> </w:t>
      </w:r>
      <w:r>
        <w:rPr>
          <w:i/>
        </w:rPr>
        <w:t>Application of Southwestern Electric Power Company for Authority to Change Rates and Reconcile Fuel Costs</w:t>
      </w:r>
      <w:r>
        <w:t>, Docket No. 40443, Redacted Proposal for Decision at 269 (May 20, 2013).</w:t>
      </w:r>
    </w:p>
  </w:footnote>
  <w:footnote w:id="14">
    <w:p w:rsidR="00A61794" w:rsidRPr="007940E2" w:rsidRDefault="00A61794" w:rsidP="0009369D">
      <w:pPr>
        <w:pStyle w:val="FootnoteText"/>
        <w:spacing w:after="120"/>
        <w:ind w:firstLine="720"/>
        <w:jc w:val="both"/>
      </w:pPr>
      <w:r>
        <w:rPr>
          <w:rStyle w:val="FootnoteReference"/>
        </w:rPr>
        <w:footnoteRef/>
      </w:r>
      <w:r>
        <w:t xml:space="preserve"> </w:t>
      </w:r>
      <w:r>
        <w:rPr>
          <w:i/>
        </w:rPr>
        <w:t>Application of Southwestern Electric Power Company for Authority to Change Rates,</w:t>
      </w:r>
      <w:r>
        <w:t xml:space="preserve"> Docket No. 46449, Commission Number Run, Memorandum of William Abbott (Dec. 20, 2017).</w:t>
      </w:r>
    </w:p>
  </w:footnote>
  <w:footnote w:id="15">
    <w:p w:rsidR="00A61794" w:rsidRDefault="00A61794" w:rsidP="0009369D">
      <w:pPr>
        <w:pStyle w:val="FootnoteText"/>
        <w:spacing w:after="120"/>
        <w:ind w:firstLine="720"/>
        <w:jc w:val="both"/>
      </w:pPr>
      <w:r>
        <w:rPr>
          <w:rStyle w:val="FootnoteReference"/>
        </w:rPr>
        <w:footnoteRef/>
      </w:r>
      <w:r>
        <w:t xml:space="preserve"> This occurs because the benefits that accrue to a class are typically spread among the customers of the class.  For example, if the former intervenor can shift $1 million of cost recovery away from their class and onto others, they would benefit by $950,000, whereas the latter intervenor would only benefit by $100,000 by shifting the same $1 million of cost recovery away from their class.  The former intervenor would therefore have a stronger incentive to actively shift cost recovery away from their class.</w:t>
      </w:r>
    </w:p>
  </w:footnote>
  <w:footnote w:id="16">
    <w:p w:rsidR="00A61794" w:rsidRDefault="00A61794" w:rsidP="0009369D">
      <w:pPr>
        <w:pStyle w:val="FootnoteText"/>
        <w:spacing w:after="120"/>
        <w:ind w:firstLine="720"/>
        <w:jc w:val="both"/>
      </w:pPr>
      <w:r>
        <w:rPr>
          <w:rStyle w:val="FootnoteReference"/>
        </w:rPr>
        <w:footnoteRef/>
      </w:r>
      <w:r>
        <w:t xml:space="preserve"> It is, however, often the case that some intervenors would benefit from and support cost-based rates in a particular rate case.</w:t>
      </w:r>
    </w:p>
  </w:footnote>
  <w:footnote w:id="17">
    <w:p w:rsidR="00A61794" w:rsidRPr="00674A96" w:rsidRDefault="00A61794" w:rsidP="0009369D">
      <w:pPr>
        <w:pStyle w:val="FootnoteText"/>
        <w:spacing w:after="120"/>
        <w:ind w:firstLine="720"/>
        <w:jc w:val="both"/>
      </w:pPr>
      <w:r>
        <w:rPr>
          <w:rStyle w:val="FootnoteReference"/>
        </w:rPr>
        <w:footnoteRef/>
      </w:r>
      <w:r>
        <w:t xml:space="preserve"> </w:t>
      </w:r>
      <w:r>
        <w:rPr>
          <w:i/>
        </w:rPr>
        <w:t>Application of CenterPoint Electric Delivery Company, LLC for Authority to Change Rates</w:t>
      </w:r>
      <w:r>
        <w:t>,</w:t>
      </w:r>
      <w:r w:rsidRPr="00345F5B">
        <w:t xml:space="preserve"> </w:t>
      </w:r>
      <w:r>
        <w:t>Docket No. 38339, Order at 33, Finding of Fact No. 175 (June 23, 2011).</w:t>
      </w:r>
    </w:p>
  </w:footnote>
  <w:footnote w:id="18">
    <w:p w:rsidR="00A61794" w:rsidRPr="00674A96" w:rsidRDefault="00A61794" w:rsidP="0009369D">
      <w:pPr>
        <w:pStyle w:val="FootnoteText"/>
        <w:spacing w:after="120"/>
        <w:ind w:firstLine="720"/>
        <w:jc w:val="both"/>
      </w:pPr>
      <w:r>
        <w:rPr>
          <w:rStyle w:val="FootnoteReference"/>
        </w:rPr>
        <w:footnoteRef/>
      </w:r>
      <w:r>
        <w:t xml:space="preserve"> </w:t>
      </w:r>
      <w:r>
        <w:rPr>
          <w:i/>
        </w:rPr>
        <w:t>Application of AEP Texas Central Company for Authority to Change Rates</w:t>
      </w:r>
      <w:r>
        <w:t>,</w:t>
      </w:r>
      <w:r w:rsidRPr="00345F5B">
        <w:t xml:space="preserve"> </w:t>
      </w:r>
      <w:r>
        <w:t>Docket No. 33309,</w:t>
      </w:r>
      <w:r>
        <w:rPr>
          <w:i/>
        </w:rPr>
        <w:t xml:space="preserve"> </w:t>
      </w:r>
      <w:r>
        <w:t xml:space="preserve"> Order on Rehearing at 18, Finding of Fact No. 142 (March 4, 2008).</w:t>
      </w:r>
    </w:p>
  </w:footnote>
  <w:footnote w:id="19">
    <w:p w:rsidR="00A61794" w:rsidRDefault="00A61794" w:rsidP="0009369D">
      <w:pPr>
        <w:pStyle w:val="FootnoteText"/>
        <w:spacing w:after="120"/>
        <w:ind w:firstLine="720"/>
        <w:jc w:val="both"/>
      </w:pPr>
      <w:r>
        <w:rPr>
          <w:rStyle w:val="FootnoteReference"/>
        </w:rPr>
        <w:footnoteRef/>
      </w:r>
      <w:r>
        <w:t xml:space="preserve"> Open Meeting Transcript, June 29, 2000, at p. 120 – 121.</w:t>
      </w:r>
    </w:p>
  </w:footnote>
  <w:footnote w:id="20">
    <w:p w:rsidR="00A61794" w:rsidRDefault="00A61794" w:rsidP="0009369D">
      <w:pPr>
        <w:pStyle w:val="FootnoteText"/>
        <w:spacing w:after="120"/>
        <w:ind w:firstLine="720"/>
        <w:jc w:val="both"/>
      </w:pPr>
      <w:r>
        <w:rPr>
          <w:rStyle w:val="FootnoteReference"/>
        </w:rPr>
        <w:footnoteRef/>
      </w:r>
      <w:r>
        <w:t xml:space="preserve"> Instead of proposing a gradualism/rate moderation adjustment </w:t>
      </w:r>
      <w:r w:rsidRPr="00975F66">
        <w:rPr>
          <w:i/>
        </w:rPr>
        <w:t>after</w:t>
      </w:r>
      <w:r>
        <w:t xml:space="preserve"> the class cost of service phase, Mr. Pollock proposes that such an adjustment be implemented via an adjustment to an allocation factor used in the class cost of service study.  This would result in the study producing class “costs of service” amounts that do not reasonably reflect the actual costs to serve the classes.</w:t>
      </w:r>
    </w:p>
  </w:footnote>
  <w:footnote w:id="21">
    <w:p w:rsidR="00A61794" w:rsidRDefault="00A61794" w:rsidP="0009369D">
      <w:pPr>
        <w:pStyle w:val="FootnoteText"/>
        <w:spacing w:after="120"/>
        <w:ind w:firstLine="720"/>
        <w:jc w:val="both"/>
      </w:pPr>
      <w:r>
        <w:rPr>
          <w:rStyle w:val="FootnoteReference"/>
        </w:rPr>
        <w:footnoteRef/>
      </w:r>
      <w:r>
        <w:t xml:space="preserve"> Direct Testimony of Jeffry Pollock on Behalf of Texas Industrial Energy Consumers at bates 36 (June 6, 2019).</w:t>
      </w:r>
    </w:p>
  </w:footnote>
  <w:footnote w:id="22">
    <w:p w:rsidR="00A61794" w:rsidRDefault="00A61794" w:rsidP="0009369D">
      <w:pPr>
        <w:pStyle w:val="FootnoteText"/>
        <w:spacing w:after="120"/>
        <w:ind w:firstLine="720"/>
        <w:jc w:val="both"/>
      </w:pPr>
      <w:r>
        <w:rPr>
          <w:rStyle w:val="FootnoteReference"/>
        </w:rPr>
        <w:footnoteRef/>
      </w:r>
      <w:r>
        <w:t xml:space="preserve"> </w:t>
      </w:r>
      <w:r>
        <w:rPr>
          <w:i/>
        </w:rPr>
        <w:t>Id.</w:t>
      </w:r>
      <w:r>
        <w:t xml:space="preserve"> at bates 37 – 38 (emphasis added).</w:t>
      </w:r>
    </w:p>
  </w:footnote>
  <w:footnote w:id="23">
    <w:p w:rsidR="00A61794" w:rsidRPr="006F1977" w:rsidRDefault="00A61794" w:rsidP="0009369D">
      <w:pPr>
        <w:pStyle w:val="FootnoteText"/>
        <w:ind w:firstLine="720"/>
        <w:jc w:val="both"/>
      </w:pPr>
      <w:r>
        <w:rPr>
          <w:rStyle w:val="FootnoteReference"/>
        </w:rPr>
        <w:footnoteRef/>
      </w:r>
      <w:r>
        <w:t xml:space="preserve"> </w:t>
      </w:r>
      <w:r>
        <w:rPr>
          <w:i/>
        </w:rPr>
        <w:t>Id.</w:t>
      </w:r>
      <w:r>
        <w:t xml:space="preserve"> at bates 38.</w:t>
      </w:r>
    </w:p>
  </w:footnote>
  <w:footnote w:id="24">
    <w:p w:rsidR="00A61794" w:rsidRDefault="00A61794" w:rsidP="0009369D">
      <w:pPr>
        <w:pStyle w:val="FootnoteText"/>
        <w:spacing w:after="120"/>
        <w:ind w:firstLine="720"/>
        <w:jc w:val="both"/>
      </w:pPr>
      <w:r>
        <w:rPr>
          <w:rStyle w:val="FootnoteReference"/>
        </w:rPr>
        <w:footnoteRef/>
      </w:r>
      <w:r>
        <w:t xml:space="preserve"> </w:t>
      </w:r>
      <w:r>
        <w:rPr>
          <w:i/>
        </w:rPr>
        <w:t>Id.</w:t>
      </w:r>
      <w:r>
        <w:t xml:space="preserve"> at bates 8. </w:t>
      </w:r>
    </w:p>
  </w:footnote>
  <w:footnote w:id="25">
    <w:p w:rsidR="00A61794" w:rsidRDefault="00A61794" w:rsidP="0009369D">
      <w:pPr>
        <w:pStyle w:val="FootnoteText"/>
        <w:spacing w:after="120"/>
        <w:ind w:firstLine="720"/>
        <w:jc w:val="both"/>
      </w:pPr>
      <w:r>
        <w:rPr>
          <w:rStyle w:val="FootnoteReference"/>
        </w:rPr>
        <w:footnoteRef/>
      </w:r>
      <w:r>
        <w:t xml:space="preserve"> </w:t>
      </w:r>
      <w:r w:rsidRPr="0038151D">
        <w:t>Application</w:t>
      </w:r>
      <w:r>
        <w:t>, Rate Filing Package at Schedule II-I.</w:t>
      </w:r>
    </w:p>
  </w:footnote>
  <w:footnote w:id="26">
    <w:p w:rsidR="00A61794" w:rsidRDefault="00A61794" w:rsidP="0009369D">
      <w:pPr>
        <w:pStyle w:val="FootnoteText"/>
        <w:spacing w:after="120"/>
        <w:ind w:firstLine="720"/>
        <w:jc w:val="both"/>
      </w:pPr>
      <w:r>
        <w:rPr>
          <w:rStyle w:val="FootnoteReference"/>
        </w:rPr>
        <w:footnoteRef/>
      </w:r>
      <w:r>
        <w:t xml:space="preserve"> </w:t>
      </w:r>
      <w:r w:rsidRPr="0038151D">
        <w:t>Application</w:t>
      </w:r>
      <w:r>
        <w:t>, Direct Testimony of Matthew A. Troxle at bates 2994.</w:t>
      </w:r>
    </w:p>
  </w:footnote>
  <w:footnote w:id="27">
    <w:p w:rsidR="00A61794" w:rsidRDefault="00A61794" w:rsidP="0009369D">
      <w:pPr>
        <w:pStyle w:val="FootnoteText"/>
        <w:spacing w:after="120"/>
        <w:ind w:firstLine="720"/>
        <w:jc w:val="both"/>
      </w:pPr>
      <w:r>
        <w:rPr>
          <w:rStyle w:val="FootnoteReference"/>
        </w:rPr>
        <w:footnoteRef/>
      </w:r>
      <w:r>
        <w:t xml:space="preserve"> Direct Testimony of Brian T. Murphy, Rate Regulation Division, Public Utility Commission of Texas at bates 47 (June 12, 2019).</w:t>
      </w:r>
      <w:r w:rsidRPr="00D60226">
        <w:t xml:space="preserve"> </w:t>
      </w:r>
      <w:r>
        <w:t xml:space="preserve"> Direct Testimony of Jeffry Pollock on Behalf of Texas Industrial Energy Consumers at bates 16 (June 6, 2019).</w:t>
      </w:r>
    </w:p>
  </w:footnote>
  <w:footnote w:id="28">
    <w:p w:rsidR="00A61794" w:rsidRPr="00B758CA" w:rsidRDefault="00A61794" w:rsidP="0009369D">
      <w:pPr>
        <w:pStyle w:val="FootnoteText"/>
        <w:spacing w:after="120"/>
        <w:ind w:firstLine="720"/>
        <w:jc w:val="both"/>
      </w:pPr>
      <w:r>
        <w:rPr>
          <w:rStyle w:val="FootnoteReference"/>
        </w:rPr>
        <w:footnoteRef/>
      </w:r>
      <w:r>
        <w:rPr>
          <w:i/>
        </w:rPr>
        <w:t>Application of Entergy Texas, Inc. for Authority to Change Rates, Reconcile Fuel Costs, and Obtain Deferred Accounting Treatment</w:t>
      </w:r>
      <w:r>
        <w:t>, Docket No. 39896, Proposal for Decision at 284 (Jul. 6, 2012).</w:t>
      </w:r>
    </w:p>
  </w:footnote>
  <w:footnote w:id="29">
    <w:p w:rsidR="00A61794" w:rsidRDefault="00A61794" w:rsidP="0009369D">
      <w:pPr>
        <w:pStyle w:val="FootnoteText"/>
        <w:spacing w:after="120"/>
        <w:ind w:firstLine="720"/>
        <w:jc w:val="both"/>
      </w:pPr>
      <w:r>
        <w:rPr>
          <w:rStyle w:val="FootnoteReference"/>
        </w:rPr>
        <w:footnoteRef/>
      </w:r>
      <w:r>
        <w:t xml:space="preserve"> </w:t>
      </w:r>
      <w:r>
        <w:rPr>
          <w:i/>
        </w:rPr>
        <w:t>Application of Southwestern Electric Power Company for Authority to Change Rates and Reconcile Fuel Costs</w:t>
      </w:r>
      <w:r>
        <w:t>, Docket No. 40443, Redacted Proposal for Decision at 269 (May 20, 2013).</w:t>
      </w:r>
    </w:p>
  </w:footnote>
  <w:footnote w:id="30">
    <w:p w:rsidR="00A61794" w:rsidRPr="00800D85" w:rsidRDefault="00A61794" w:rsidP="0009369D">
      <w:pPr>
        <w:pStyle w:val="FootnoteText"/>
        <w:spacing w:after="120"/>
        <w:ind w:firstLine="720"/>
        <w:jc w:val="both"/>
      </w:pPr>
      <w:r>
        <w:rPr>
          <w:rStyle w:val="FootnoteReference"/>
        </w:rPr>
        <w:footnoteRef/>
      </w:r>
      <w:r>
        <w:t xml:space="preserve"> </w:t>
      </w:r>
      <w:r w:rsidRPr="00BC6ADB">
        <w:rPr>
          <w:i/>
        </w:rPr>
        <w:t>Application of Southwestern Public Service Company for Authority to Change Rates</w:t>
      </w:r>
      <w:r w:rsidRPr="00B33E4C">
        <w:t xml:space="preserve">, Docket No. 43695, </w:t>
      </w:r>
      <w:r>
        <w:t xml:space="preserve">Final </w:t>
      </w:r>
      <w:r w:rsidRPr="00B33E4C">
        <w:t>Order at 9 (Feb. 23, 2016</w:t>
      </w:r>
      <w:r>
        <w:t>).</w:t>
      </w:r>
    </w:p>
  </w:footnote>
  <w:footnote w:id="31">
    <w:p w:rsidR="00A61794" w:rsidRDefault="00A61794" w:rsidP="0009369D">
      <w:pPr>
        <w:pStyle w:val="FootnoteText"/>
        <w:spacing w:after="120"/>
        <w:ind w:firstLine="720"/>
        <w:jc w:val="both"/>
      </w:pPr>
      <w:r>
        <w:rPr>
          <w:rStyle w:val="FootnoteReference"/>
        </w:rPr>
        <w:footnoteRef/>
      </w:r>
      <w:r>
        <w:t xml:space="preserve"> </w:t>
      </w:r>
      <w:r>
        <w:rPr>
          <w:i/>
          <w:szCs w:val="24"/>
        </w:rPr>
        <w:t>Id.</w:t>
      </w:r>
      <w:r>
        <w:rPr>
          <w:szCs w:val="24"/>
        </w:rPr>
        <w:t xml:space="preserve"> </w:t>
      </w:r>
      <w:r>
        <w:t>at 10.</w:t>
      </w:r>
    </w:p>
  </w:footnote>
  <w:footnote w:id="32">
    <w:p w:rsidR="00A61794" w:rsidRPr="00560099" w:rsidRDefault="00A61794" w:rsidP="0009369D">
      <w:pPr>
        <w:pStyle w:val="FootnoteText"/>
        <w:spacing w:after="120"/>
        <w:ind w:firstLine="720"/>
        <w:jc w:val="both"/>
      </w:pPr>
      <w:r>
        <w:rPr>
          <w:rStyle w:val="FootnoteReference"/>
        </w:rPr>
        <w:footnoteRef/>
      </w:r>
      <w:r>
        <w:t xml:space="preserve"> </w:t>
      </w:r>
      <w:r>
        <w:rPr>
          <w:i/>
        </w:rPr>
        <w:t>Id.</w:t>
      </w:r>
    </w:p>
  </w:footnote>
  <w:footnote w:id="33">
    <w:p w:rsidR="00A61794" w:rsidRPr="00D43E01" w:rsidRDefault="00A61794" w:rsidP="0009369D">
      <w:pPr>
        <w:pStyle w:val="FootnoteText"/>
        <w:spacing w:after="120"/>
        <w:ind w:firstLine="720"/>
        <w:jc w:val="both"/>
      </w:pPr>
      <w:r>
        <w:rPr>
          <w:rStyle w:val="FootnoteReference"/>
        </w:rPr>
        <w:footnoteRef/>
      </w:r>
      <w:r>
        <w:t xml:space="preserve"> </w:t>
      </w:r>
      <w:r>
        <w:rPr>
          <w:i/>
        </w:rPr>
        <w:t xml:space="preserve">Id. </w:t>
      </w:r>
      <w:r>
        <w:t>at Finding of Fact No. 337B.</w:t>
      </w:r>
    </w:p>
  </w:footnote>
  <w:footnote w:id="34">
    <w:p w:rsidR="00A61794" w:rsidRDefault="00A61794" w:rsidP="0009369D">
      <w:pPr>
        <w:pStyle w:val="FootnoteText"/>
        <w:spacing w:after="120"/>
        <w:ind w:firstLine="720"/>
        <w:jc w:val="both"/>
      </w:pPr>
      <w:r>
        <w:rPr>
          <w:rStyle w:val="FootnoteReference"/>
        </w:rPr>
        <w:footnoteRef/>
      </w:r>
      <w:r>
        <w:t xml:space="preserve"> </w:t>
      </w:r>
      <w:r w:rsidRPr="00D804D8">
        <w:rPr>
          <w:i/>
        </w:rPr>
        <w:t xml:space="preserve">Application of Southwestern Electric Power Company for Authority to Change Rates, </w:t>
      </w:r>
      <w:r w:rsidRPr="00D804D8">
        <w:t>Docket No. 46449</w:t>
      </w:r>
      <w:r>
        <w:t>, Final Order at 8 (Mar. 19, 2018).</w:t>
      </w:r>
    </w:p>
  </w:footnote>
  <w:footnote w:id="35">
    <w:p w:rsidR="00A61794" w:rsidRPr="003D08EA" w:rsidRDefault="00A61794" w:rsidP="0009369D">
      <w:pPr>
        <w:pStyle w:val="FootnoteText"/>
        <w:spacing w:after="120"/>
        <w:ind w:firstLine="720"/>
        <w:jc w:val="both"/>
      </w:pPr>
      <w:r>
        <w:rPr>
          <w:rStyle w:val="FootnoteReference"/>
        </w:rPr>
        <w:footnoteRef/>
      </w:r>
      <w:r>
        <w:t xml:space="preserve"> </w:t>
      </w:r>
      <w:r>
        <w:rPr>
          <w:i/>
        </w:rPr>
        <w:t>Id.</w:t>
      </w:r>
      <w:r>
        <w:t xml:space="preserve"> at Finding of Fact No. 314A.</w:t>
      </w:r>
    </w:p>
  </w:footnote>
  <w:footnote w:id="36">
    <w:p w:rsidR="00A61794" w:rsidRDefault="00A61794" w:rsidP="0009369D">
      <w:pPr>
        <w:pStyle w:val="FootnoteText"/>
        <w:spacing w:after="120"/>
        <w:ind w:firstLine="720"/>
        <w:jc w:val="both"/>
      </w:pPr>
      <w:r>
        <w:rPr>
          <w:rStyle w:val="FootnoteReference"/>
        </w:rPr>
        <w:footnoteRef/>
      </w:r>
      <w:r>
        <w:t xml:space="preserve"> Direct Testimony of Jeffry Pollock on Behalf of Texas Industrial Energy Consumers at bates 16 (June 6, 2019).</w:t>
      </w:r>
    </w:p>
  </w:footnote>
  <w:footnote w:id="37">
    <w:p w:rsidR="00A61794" w:rsidRPr="00D60226" w:rsidRDefault="00A61794" w:rsidP="0009369D">
      <w:pPr>
        <w:pStyle w:val="FootnoteText"/>
        <w:spacing w:after="120"/>
        <w:ind w:firstLine="720"/>
        <w:jc w:val="both"/>
      </w:pPr>
      <w:r>
        <w:rPr>
          <w:rStyle w:val="FootnoteReference"/>
        </w:rPr>
        <w:footnoteRef/>
      </w:r>
      <w:r>
        <w:t xml:space="preserve"> Under the TCRF rule, 16 TAC § 25.193(c), the TCRF class allocation factor</w:t>
      </w:r>
      <w:r w:rsidR="000B5DE1">
        <w:t xml:space="preserve"> to be used</w:t>
      </w:r>
      <w:r>
        <w:t xml:space="preserve"> is the one approved by </w:t>
      </w:r>
      <w:r w:rsidRPr="00D60226">
        <w:t>the Commission “in the DSP’s last rate case, unless otherwise ordered by the commission.”</w:t>
      </w:r>
    </w:p>
  </w:footnote>
  <w:footnote w:id="38">
    <w:p w:rsidR="000B5DE1" w:rsidRPr="008559EC" w:rsidRDefault="000B5DE1" w:rsidP="000B5DE1">
      <w:pPr>
        <w:pStyle w:val="FootnoteText"/>
        <w:spacing w:after="120"/>
        <w:ind w:firstLine="720"/>
        <w:jc w:val="both"/>
      </w:pPr>
      <w:r w:rsidRPr="00D60226">
        <w:rPr>
          <w:rStyle w:val="FootnoteReference"/>
        </w:rPr>
        <w:footnoteRef/>
      </w:r>
      <w:r w:rsidRPr="00D60226">
        <w:t xml:space="preserve"> Direct Testimony of Jeffry Pollock on Behalf of Texas Industrial Energy Consumers at bates 38 - 40 (June 6, 2019).  Note, Mr. Pollock recommends annual updates to the allocation factors, while I feel that biennial updates might strike a better balance between rate stability and resource constraints.</w:t>
      </w:r>
    </w:p>
  </w:footnote>
  <w:footnote w:id="39">
    <w:p w:rsidR="00A61794" w:rsidRDefault="00A61794" w:rsidP="0009369D">
      <w:pPr>
        <w:pStyle w:val="FootnoteText"/>
        <w:spacing w:after="120"/>
        <w:ind w:firstLine="720"/>
        <w:jc w:val="both"/>
      </w:pPr>
      <w:r>
        <w:rPr>
          <w:rStyle w:val="FootnoteReference"/>
        </w:rPr>
        <w:footnoteRef/>
      </w:r>
      <w:r>
        <w:t xml:space="preserve"> </w:t>
      </w:r>
      <w:r w:rsidRPr="0038151D">
        <w:t>Application</w:t>
      </w:r>
      <w:r>
        <w:t>, Direct Testimony of Matthew A. Troxle at bates 2994.</w:t>
      </w:r>
    </w:p>
  </w:footnote>
  <w:footnote w:id="40">
    <w:p w:rsidR="00A61794" w:rsidRDefault="00A61794" w:rsidP="0009369D">
      <w:pPr>
        <w:pStyle w:val="FootnoteText"/>
        <w:spacing w:after="120"/>
        <w:ind w:firstLine="720"/>
        <w:jc w:val="both"/>
      </w:pPr>
      <w:r>
        <w:rPr>
          <w:rStyle w:val="FootnoteReference"/>
        </w:rPr>
        <w:footnoteRef/>
      </w:r>
      <w:r>
        <w:t xml:space="preserve"> </w:t>
      </w:r>
      <w:r w:rsidRPr="0038151D">
        <w:t>Application</w:t>
      </w:r>
      <w:r>
        <w:t>, Direct Testimony of Matthew A. Troxle at bates 3032.</w:t>
      </w:r>
    </w:p>
  </w:footnote>
  <w:footnote w:id="41">
    <w:p w:rsidR="00A61794" w:rsidRDefault="00A61794" w:rsidP="0009369D">
      <w:pPr>
        <w:pStyle w:val="FootnoteText"/>
        <w:spacing w:after="120"/>
        <w:ind w:firstLine="720"/>
        <w:jc w:val="both"/>
      </w:pPr>
      <w:r>
        <w:rPr>
          <w:rStyle w:val="FootnoteReference"/>
        </w:rPr>
        <w:footnoteRef/>
      </w:r>
      <w:r>
        <w:t xml:space="preserve"> Direct Testimony of Jeffry Pollock on Behalf of Texas Industrial Energy Consumers at bates 8 (June 6, 2019).</w:t>
      </w:r>
    </w:p>
  </w:footnote>
  <w:footnote w:id="42">
    <w:p w:rsidR="00A61794" w:rsidRDefault="00A61794" w:rsidP="0009369D">
      <w:pPr>
        <w:pStyle w:val="FootnoteText"/>
        <w:spacing w:after="120"/>
        <w:ind w:firstLine="720"/>
        <w:jc w:val="both"/>
      </w:pPr>
      <w:r>
        <w:rPr>
          <w:rStyle w:val="FootnoteReference"/>
        </w:rPr>
        <w:footnoteRef/>
      </w:r>
      <w:r>
        <w:t xml:space="preserve"> </w:t>
      </w:r>
      <w:r w:rsidRPr="00BB0DEB">
        <w:rPr>
          <w:i/>
        </w:rPr>
        <w:t>Id.</w:t>
      </w:r>
    </w:p>
  </w:footnote>
  <w:footnote w:id="43">
    <w:p w:rsidR="00A61794" w:rsidRDefault="00A61794" w:rsidP="0009369D">
      <w:pPr>
        <w:pStyle w:val="FootnoteText"/>
        <w:spacing w:after="120"/>
        <w:ind w:firstLine="720"/>
        <w:jc w:val="both"/>
      </w:pPr>
      <w:r>
        <w:rPr>
          <w:rStyle w:val="FootnoteReference"/>
        </w:rPr>
        <w:footnoteRef/>
      </w:r>
      <w:r>
        <w:t xml:space="preserve"> </w:t>
      </w:r>
      <w:r w:rsidRPr="00BB0DEB">
        <w:rPr>
          <w:i/>
        </w:rPr>
        <w:t>Id.</w:t>
      </w:r>
    </w:p>
  </w:footnote>
  <w:footnote w:id="44">
    <w:p w:rsidR="00A61794" w:rsidRDefault="00A61794" w:rsidP="0009369D">
      <w:pPr>
        <w:pStyle w:val="FootnoteText"/>
        <w:spacing w:after="120"/>
        <w:ind w:firstLine="720"/>
        <w:jc w:val="both"/>
      </w:pPr>
      <w:r>
        <w:rPr>
          <w:rStyle w:val="FootnoteReference"/>
        </w:rPr>
        <w:footnoteRef/>
      </w:r>
      <w:r>
        <w:t xml:space="preserve"> Direct Testimony of George W. Presses on Behalf of H-E-B, LP at 6 (June 6, 2019).</w:t>
      </w:r>
    </w:p>
  </w:footnote>
  <w:footnote w:id="45">
    <w:p w:rsidR="00A61794" w:rsidRDefault="00A61794" w:rsidP="0009369D">
      <w:pPr>
        <w:pStyle w:val="FootnoteText"/>
        <w:spacing w:after="120"/>
        <w:ind w:firstLine="720"/>
        <w:jc w:val="both"/>
      </w:pPr>
      <w:r>
        <w:rPr>
          <w:rStyle w:val="FootnoteReference"/>
        </w:rPr>
        <w:footnoteRef/>
      </w:r>
      <w:r>
        <w:t xml:space="preserve"> </w:t>
      </w:r>
      <w:r>
        <w:rPr>
          <w:i/>
        </w:rPr>
        <w:t>Id.</w:t>
      </w:r>
      <w:r>
        <w:t xml:space="preserve"> at 19 (emphasis added).</w:t>
      </w:r>
    </w:p>
  </w:footnote>
  <w:footnote w:id="46">
    <w:p w:rsidR="00A61794" w:rsidRDefault="00A61794" w:rsidP="0009369D">
      <w:pPr>
        <w:pStyle w:val="FootnoteText"/>
        <w:spacing w:after="120"/>
        <w:ind w:firstLine="720"/>
        <w:jc w:val="both"/>
      </w:pPr>
      <w:r>
        <w:rPr>
          <w:rStyle w:val="FootnoteReference"/>
        </w:rPr>
        <w:footnoteRef/>
      </w:r>
      <w:r>
        <w:t xml:space="preserve"> Texas Competitive Power Advocates Statement of Position at bates 1 (June 12, 2019) (emphasis added).</w:t>
      </w:r>
    </w:p>
  </w:footnote>
  <w:footnote w:id="47">
    <w:p w:rsidR="00A61794" w:rsidRDefault="00A61794" w:rsidP="0009369D">
      <w:pPr>
        <w:pStyle w:val="FootnoteText"/>
        <w:spacing w:after="120"/>
        <w:ind w:firstLine="720"/>
        <w:jc w:val="both"/>
      </w:pPr>
      <w:r>
        <w:rPr>
          <w:rStyle w:val="FootnoteReference"/>
        </w:rPr>
        <w:footnoteRef/>
      </w:r>
      <w:r>
        <w:t xml:space="preserve"> Priorities for the Evolution of an Energy-Only Electricity Market Design in ERCOT by William W. Hogan and Susan L. Pope, Project No. 47199 (May 9, 2017).</w:t>
      </w:r>
    </w:p>
  </w:footnote>
  <w:footnote w:id="48">
    <w:p w:rsidR="00A61794" w:rsidRDefault="00A61794" w:rsidP="0009369D">
      <w:pPr>
        <w:pStyle w:val="FootnoteText"/>
        <w:spacing w:after="120"/>
        <w:ind w:firstLine="720"/>
        <w:jc w:val="both"/>
      </w:pPr>
      <w:r>
        <w:rPr>
          <w:rStyle w:val="FootnoteReference"/>
        </w:rPr>
        <w:footnoteRef/>
      </w:r>
      <w:r>
        <w:t xml:space="preserve"> 2018 State of the Market Report for the ERCOT Electricity Markets, Potomac Economics (June 2019).</w:t>
      </w:r>
    </w:p>
  </w:footnote>
  <w:footnote w:id="49">
    <w:p w:rsidR="00A61794" w:rsidRDefault="00A61794" w:rsidP="0009369D">
      <w:pPr>
        <w:pStyle w:val="FootnoteText"/>
        <w:ind w:firstLine="720"/>
        <w:jc w:val="both"/>
      </w:pPr>
      <w:r>
        <w:rPr>
          <w:rStyle w:val="FootnoteReference"/>
        </w:rPr>
        <w:footnoteRef/>
      </w:r>
      <w:r>
        <w:t xml:space="preserve"> Discussion of these issues outside of ratemaking proceedings often include imprecise terminology.</w:t>
      </w:r>
    </w:p>
  </w:footnote>
  <w:footnote w:id="50">
    <w:p w:rsidR="00A61794" w:rsidRDefault="00A61794" w:rsidP="0009369D">
      <w:pPr>
        <w:pStyle w:val="FootnoteText"/>
        <w:spacing w:after="120"/>
        <w:ind w:firstLine="720"/>
        <w:jc w:val="both"/>
      </w:pPr>
      <w:r>
        <w:rPr>
          <w:rStyle w:val="FootnoteReference"/>
        </w:rPr>
        <w:footnoteRef/>
      </w:r>
      <w:r>
        <w:t xml:space="preserve"> Direct Testimony of George W. Presses on Behalf of H-E-B, LP at 6 (June 6, 2019).</w:t>
      </w:r>
    </w:p>
  </w:footnote>
  <w:footnote w:id="51">
    <w:p w:rsidR="00A61794" w:rsidRDefault="00A61794" w:rsidP="0009369D">
      <w:pPr>
        <w:pStyle w:val="FootnoteText"/>
        <w:spacing w:after="120"/>
        <w:ind w:firstLine="720"/>
        <w:jc w:val="both"/>
      </w:pPr>
      <w:r>
        <w:rPr>
          <w:rStyle w:val="FootnoteReference"/>
        </w:rPr>
        <w:footnoteRef/>
      </w:r>
      <w:r>
        <w:t xml:space="preserve"> Texas Competitive Power Advocates Statement of Position at bates 2 (June 12, 2019).</w:t>
      </w:r>
    </w:p>
  </w:footnote>
  <w:footnote w:id="52">
    <w:p w:rsidR="00A61794" w:rsidRDefault="00A61794" w:rsidP="0009369D">
      <w:pPr>
        <w:pStyle w:val="FootnoteText"/>
        <w:ind w:firstLine="720"/>
        <w:jc w:val="both"/>
      </w:pPr>
      <w:r>
        <w:rPr>
          <w:rStyle w:val="FootnoteReference"/>
        </w:rPr>
        <w:footnoteRef/>
      </w:r>
      <w:r>
        <w:t xml:space="preserve"> </w:t>
      </w:r>
      <w:r>
        <w:rPr>
          <w:i/>
        </w:rPr>
        <w:t>Id.</w:t>
      </w:r>
      <w:r>
        <w:t xml:space="preserve"> at bates 1.</w:t>
      </w:r>
    </w:p>
  </w:footnote>
  <w:footnote w:id="53">
    <w:p w:rsidR="00A61794" w:rsidRDefault="00A61794" w:rsidP="0009369D">
      <w:pPr>
        <w:pStyle w:val="FootnoteText"/>
        <w:spacing w:after="120"/>
        <w:ind w:firstLine="720"/>
        <w:jc w:val="both"/>
      </w:pPr>
      <w:r>
        <w:rPr>
          <w:rStyle w:val="FootnoteReference"/>
        </w:rPr>
        <w:footnoteRef/>
      </w:r>
      <w:r>
        <w:t xml:space="preserve"> </w:t>
      </w:r>
      <w:r>
        <w:rPr>
          <w:i/>
        </w:rPr>
        <w:t xml:space="preserve">Generic Issues Associated with Applications for Approval of Unbundled Cost of Service Rate Pursuant to PURA § 39.201 and Public Utility Commission Substantive Rule § 25.344, </w:t>
      </w:r>
      <w:r>
        <w:t>Docket No. 22344, Order No. 40: Interim Order Establishing Generic Customer Classification and Rate Design at 1 (Nov. 22, 2000).</w:t>
      </w:r>
    </w:p>
  </w:footnote>
  <w:footnote w:id="54">
    <w:p w:rsidR="00A61794" w:rsidRDefault="00A61794" w:rsidP="0009369D">
      <w:pPr>
        <w:pStyle w:val="FootnoteText"/>
        <w:spacing w:after="120"/>
        <w:ind w:firstLine="720"/>
        <w:jc w:val="both"/>
      </w:pPr>
      <w:r>
        <w:rPr>
          <w:rStyle w:val="FootnoteReference"/>
        </w:rPr>
        <w:footnoteRef/>
      </w:r>
      <w:r>
        <w:t xml:space="preserve"> </w:t>
      </w:r>
      <w:r>
        <w:rPr>
          <w:i/>
        </w:rPr>
        <w:t xml:space="preserve">Id. </w:t>
      </w:r>
      <w:r>
        <w:t>at 5.</w:t>
      </w:r>
    </w:p>
  </w:footnote>
  <w:footnote w:id="55">
    <w:p w:rsidR="00A61794" w:rsidRPr="00E12872" w:rsidRDefault="00A61794" w:rsidP="0009369D">
      <w:pPr>
        <w:pStyle w:val="FootnoteText"/>
        <w:spacing w:after="120"/>
        <w:ind w:firstLine="720"/>
        <w:jc w:val="both"/>
      </w:pPr>
      <w:r>
        <w:rPr>
          <w:rStyle w:val="FootnoteReference"/>
        </w:rPr>
        <w:footnoteRef/>
      </w:r>
      <w:r>
        <w:t xml:space="preserve"> </w:t>
      </w:r>
      <w:r>
        <w:rPr>
          <w:i/>
        </w:rPr>
        <w:t>Id</w:t>
      </w:r>
      <w:r>
        <w:t>.</w:t>
      </w:r>
    </w:p>
  </w:footnote>
  <w:footnote w:id="56">
    <w:p w:rsidR="00A61794" w:rsidRPr="00E12872" w:rsidRDefault="00A61794" w:rsidP="0009369D">
      <w:pPr>
        <w:pStyle w:val="FootnoteText"/>
        <w:spacing w:after="120"/>
        <w:ind w:firstLine="720"/>
        <w:jc w:val="both"/>
      </w:pPr>
      <w:r>
        <w:rPr>
          <w:rStyle w:val="FootnoteReference"/>
        </w:rPr>
        <w:footnoteRef/>
      </w:r>
      <w:r>
        <w:t xml:space="preserve"> </w:t>
      </w:r>
      <w:r>
        <w:rPr>
          <w:i/>
        </w:rPr>
        <w:t>Id.</w:t>
      </w:r>
      <w:r>
        <w:t xml:space="preserve"> at 6 - 7.</w:t>
      </w:r>
    </w:p>
  </w:footnote>
  <w:footnote w:id="57">
    <w:p w:rsidR="00A61794" w:rsidRDefault="00A61794" w:rsidP="0009369D">
      <w:pPr>
        <w:pStyle w:val="FootnoteText"/>
        <w:ind w:firstLine="720"/>
        <w:jc w:val="both"/>
      </w:pPr>
      <w:r>
        <w:rPr>
          <w:rStyle w:val="FootnoteReference"/>
        </w:rPr>
        <w:footnoteRef/>
      </w:r>
      <w:r>
        <w:t xml:space="preserve"> Direct Testimony of Brian T. Murphy, Rate Regulation Division, Public Utility Commission of Texas at bates 43 – 47 (June 12, 2019).</w:t>
      </w:r>
    </w:p>
  </w:footnote>
  <w:footnote w:id="58">
    <w:p w:rsidR="00A61794" w:rsidRDefault="00A61794" w:rsidP="0009369D">
      <w:pPr>
        <w:pStyle w:val="FootnoteText"/>
        <w:spacing w:after="120"/>
        <w:ind w:firstLine="720"/>
        <w:jc w:val="both"/>
      </w:pPr>
      <w:r>
        <w:rPr>
          <w:rStyle w:val="FootnoteReference"/>
        </w:rPr>
        <w:footnoteRef/>
      </w:r>
      <w:r>
        <w:t xml:space="preserve"> Open Meeting Transcript, May 18, 2017, at p. 34 - 36.</w:t>
      </w:r>
    </w:p>
    <w:p w:rsidR="00A61794" w:rsidRDefault="00A61794" w:rsidP="0009369D">
      <w:pPr>
        <w:pStyle w:val="FootnoteText"/>
        <w:jc w:val="both"/>
      </w:pPr>
    </w:p>
  </w:footnote>
  <w:footnote w:id="59">
    <w:p w:rsidR="00A61794" w:rsidRDefault="00A61794" w:rsidP="0009369D">
      <w:pPr>
        <w:pStyle w:val="FootnoteText"/>
        <w:spacing w:after="120"/>
        <w:ind w:firstLine="720"/>
        <w:jc w:val="both"/>
      </w:pPr>
      <w:r>
        <w:rPr>
          <w:rStyle w:val="FootnoteReference"/>
        </w:rPr>
        <w:footnoteRef/>
      </w:r>
      <w:r>
        <w:t xml:space="preserve"> Priorities for the Evolution of an Energy-Only Electricity Market Design in ERCOT by William W. Hogan and Susan L. Pope, Project No. 47199 at 77 – 78 (May 9, 2017) (emphasis added).</w:t>
      </w:r>
    </w:p>
  </w:footnote>
  <w:footnote w:id="60">
    <w:p w:rsidR="00A61794" w:rsidRDefault="00A61794" w:rsidP="0009369D">
      <w:pPr>
        <w:pStyle w:val="FootnoteText"/>
        <w:ind w:firstLine="720"/>
        <w:jc w:val="both"/>
      </w:pPr>
      <w:r>
        <w:rPr>
          <w:rStyle w:val="FootnoteReference"/>
        </w:rPr>
        <w:footnoteRef/>
      </w:r>
      <w:r>
        <w:t xml:space="preserve"> 2018 State of the Market Report for the ERCOT Electricity Markets, Potomac Economics at xxx (June 2019).</w:t>
      </w:r>
    </w:p>
  </w:footnote>
  <w:footnote w:id="61">
    <w:p w:rsidR="00A61794" w:rsidRPr="003E30BE" w:rsidRDefault="00A61794" w:rsidP="0009369D">
      <w:pPr>
        <w:pStyle w:val="FootnoteText"/>
        <w:spacing w:after="120"/>
        <w:ind w:firstLine="720"/>
        <w:jc w:val="both"/>
      </w:pPr>
      <w:r>
        <w:rPr>
          <w:rStyle w:val="FootnoteReference"/>
        </w:rPr>
        <w:footnoteRef/>
      </w:r>
      <w:r>
        <w:t xml:space="preserve"> </w:t>
      </w:r>
      <w:r w:rsidRPr="003E30BE">
        <w:rPr>
          <w:rFonts w:eastAsia="Calibri"/>
          <w:color w:val="000000"/>
        </w:rPr>
        <w:t xml:space="preserve">James C. Bonbright, Albert L. Danielsen, and David R. Kamerschen, </w:t>
      </w:r>
      <w:r w:rsidRPr="003E30BE">
        <w:rPr>
          <w:rFonts w:eastAsia="Calibri"/>
          <w:i/>
          <w:color w:val="000000"/>
        </w:rPr>
        <w:t>Principles of Public Utility Rates</w:t>
      </w:r>
      <w:r w:rsidRPr="003E30BE">
        <w:rPr>
          <w:rFonts w:eastAsia="Calibri"/>
          <w:color w:val="000000"/>
        </w:rPr>
        <w:t>, 2d ed. (Arlington, VA: Public Utility Reports, 1988)</w:t>
      </w:r>
      <w:r>
        <w:rPr>
          <w:rFonts w:eastAsia="Calibri"/>
          <w:color w:val="000000"/>
        </w:rPr>
        <w:t xml:space="preserve"> </w:t>
      </w:r>
      <w:r>
        <w:t>at 385.</w:t>
      </w:r>
    </w:p>
  </w:footnote>
  <w:footnote w:id="62">
    <w:p w:rsidR="00A61794" w:rsidRDefault="00A61794" w:rsidP="0009369D">
      <w:pPr>
        <w:pStyle w:val="FootnoteText"/>
        <w:spacing w:after="120"/>
        <w:ind w:firstLine="720"/>
        <w:jc w:val="both"/>
      </w:pPr>
      <w:r>
        <w:rPr>
          <w:rStyle w:val="FootnoteReference"/>
        </w:rPr>
        <w:footnoteRef/>
      </w:r>
      <w:r>
        <w:t xml:space="preserve">  </w:t>
      </w:r>
      <w:r w:rsidRPr="00577352">
        <w:rPr>
          <w:i/>
        </w:rPr>
        <w:t>Id.</w:t>
      </w:r>
    </w:p>
  </w:footnote>
  <w:footnote w:id="63">
    <w:p w:rsidR="00A61794" w:rsidRDefault="00A61794" w:rsidP="0009369D">
      <w:pPr>
        <w:pStyle w:val="FootnoteText"/>
        <w:ind w:firstLine="720"/>
        <w:jc w:val="both"/>
      </w:pPr>
      <w:r>
        <w:rPr>
          <w:rStyle w:val="FootnoteReference"/>
        </w:rPr>
        <w:footnoteRef/>
      </w:r>
      <w:r>
        <w:t xml:space="preserve"> </w:t>
      </w:r>
      <w:r>
        <w:rPr>
          <w:i/>
        </w:rPr>
        <w:t xml:space="preserve">Generic Issues Associated with Applications for Approval of Unbundled Cost of Service Rate Pursuant to PURA § 39.201 and Public Utility Commission Substantive Rule § 25.344, </w:t>
      </w:r>
      <w:r>
        <w:t>Docket No. 22344, Order No. 40: Interim Order Establishing Generic Customer Classification and Rate Design at 6 - 7 (Nov. 22, 2000).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1794" w:rsidRDefault="00A61794">
    <w:pPr>
      <w:rPr>
        <w:sz w:val="16"/>
        <w:szCs w:val="16"/>
      </w:rPr>
    </w:pPr>
    <w:r>
      <w:rPr>
        <w:noProof/>
      </w:rPr>
      <mc:AlternateContent>
        <mc:Choice Requires="wps">
          <w:drawing>
            <wp:anchor distT="0" distB="0" distL="63500" distR="63500" simplePos="0" relativeHeight="251657216" behindDoc="0" locked="0" layoutInCell="0" allowOverlap="1" wp14:anchorId="29057726" wp14:editId="51B8BCC1">
              <wp:simplePos x="0" y="0"/>
              <wp:positionH relativeFrom="page">
                <wp:posOffset>412750</wp:posOffset>
              </wp:positionH>
              <wp:positionV relativeFrom="paragraph">
                <wp:posOffset>0</wp:posOffset>
              </wp:positionV>
              <wp:extent cx="6946900" cy="194945"/>
              <wp:effectExtent l="3175" t="0" r="3175" b="5080"/>
              <wp:wrapSquare wrapText="bothSides"/>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6900" cy="19494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61794" w:rsidRDefault="00A61794">
                          <w:pPr>
                            <w:keepNext/>
                            <w:keepLines/>
                            <w:tabs>
                              <w:tab w:val="left" w:pos="7724"/>
                            </w:tabs>
                            <w:ind w:left="576"/>
                            <w:rPr>
                              <w:rFonts w:ascii="Arial" w:hAnsi="Arial" w:cs="Arial"/>
                              <w:b/>
                              <w:bCs/>
                              <w:spacing w:val="-1"/>
                              <w:sz w:val="22"/>
                              <w:szCs w:val="22"/>
                            </w:rPr>
                          </w:pPr>
                          <w:r>
                            <w:rPr>
                              <w:rFonts w:ascii="Arial" w:hAnsi="Arial" w:cs="Arial"/>
                              <w:b/>
                              <w:bCs/>
                              <w:sz w:val="22"/>
                              <w:szCs w:val="22"/>
                            </w:rPr>
                            <w:t>D</w:t>
                          </w:r>
                          <w:r>
                            <w:rPr>
                              <w:rFonts w:ascii="Arial" w:hAnsi="Arial" w:cs="Arial"/>
                              <w:b/>
                              <w:bCs/>
                              <w:sz w:val="18"/>
                              <w:szCs w:val="18"/>
                            </w:rPr>
                            <w:t xml:space="preserve">IRECT </w:t>
                          </w:r>
                          <w:r>
                            <w:rPr>
                              <w:rFonts w:ascii="Arial" w:hAnsi="Arial" w:cs="Arial"/>
                              <w:b/>
                              <w:bCs/>
                              <w:sz w:val="22"/>
                              <w:szCs w:val="22"/>
                            </w:rPr>
                            <w:t>T</w:t>
                          </w:r>
                          <w:r>
                            <w:rPr>
                              <w:rFonts w:ascii="Arial" w:hAnsi="Arial" w:cs="Arial"/>
                              <w:b/>
                              <w:bCs/>
                              <w:sz w:val="18"/>
                              <w:szCs w:val="18"/>
                            </w:rPr>
                            <w:t xml:space="preserve">ESTIMONY OF </w:t>
                          </w:r>
                          <w:r>
                            <w:rPr>
                              <w:rFonts w:ascii="Arial" w:hAnsi="Arial" w:cs="Arial"/>
                              <w:b/>
                              <w:bCs/>
                              <w:sz w:val="22"/>
                              <w:szCs w:val="22"/>
                            </w:rPr>
                            <w:t>S</w:t>
                          </w:r>
                          <w:r>
                            <w:rPr>
                              <w:rFonts w:ascii="Arial" w:hAnsi="Arial" w:cs="Arial"/>
                              <w:b/>
                              <w:bCs/>
                              <w:sz w:val="18"/>
                              <w:szCs w:val="18"/>
                            </w:rPr>
                            <w:t xml:space="preserve">TACY </w:t>
                          </w:r>
                          <w:r>
                            <w:rPr>
                              <w:rFonts w:ascii="Arial" w:hAnsi="Arial" w:cs="Arial"/>
                              <w:b/>
                              <w:bCs/>
                              <w:sz w:val="22"/>
                              <w:szCs w:val="22"/>
                            </w:rPr>
                            <w:t>R. W</w:t>
                          </w:r>
                          <w:r>
                            <w:rPr>
                              <w:rFonts w:ascii="Arial" w:hAnsi="Arial" w:cs="Arial"/>
                              <w:b/>
                              <w:bCs/>
                              <w:sz w:val="18"/>
                              <w:szCs w:val="18"/>
                            </w:rPr>
                            <w:t>HITEHURST</w:t>
                          </w:r>
                          <w:r>
                            <w:rPr>
                              <w:rFonts w:ascii="Arial" w:hAnsi="Arial" w:cs="Arial"/>
                              <w:b/>
                              <w:bCs/>
                              <w:spacing w:val="-1"/>
                              <w:sz w:val="18"/>
                              <w:szCs w:val="18"/>
                            </w:rPr>
                            <w:tab/>
                            <w:t xml:space="preserve">PUC DOCKET NO. </w:t>
                          </w:r>
                          <w:r>
                            <w:rPr>
                              <w:rFonts w:ascii="Arial" w:hAnsi="Arial" w:cs="Arial"/>
                              <w:b/>
                              <w:bCs/>
                              <w:spacing w:val="-1"/>
                              <w:sz w:val="22"/>
                              <w:szCs w:val="22"/>
                            </w:rPr>
                            <w:t>38480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057726" id="_x0000_t202" coordsize="21600,21600" o:spt="202" path="m,l,21600r21600,l21600,xe">
              <v:stroke joinstyle="miter"/>
              <v:path gradientshapeok="t" o:connecttype="rect"/>
            </v:shapetype>
            <v:shape id="Text Box 1" o:spid="_x0000_s1026" type="#_x0000_t202" style="position:absolute;margin-left:32.5pt;margin-top:0;width:547pt;height:15.35pt;z-index:251657216;visibility:visible;mso-wrap-style:square;mso-width-percent:0;mso-height-percent:0;mso-wrap-distance-left:5pt;mso-wrap-distance-top:0;mso-wrap-distance-right: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" o:allowincell="f" stroked="f">
              <v:fill opacity="0"/>
              <v:textbox inset="0,0,0,0">
                <w:txbxContent>
                  <w:p w:rsidR="00A61794" w:rsidRDefault="00A61794">
                    <w:pPr>
                      <w:keepNext/>
                      <w:keepLines/>
                      <w:tabs>
                        <w:tab w:val="left" w:pos="7724"/>
                      </w:tabs>
                      <w:ind w:left="576"/>
                      <w:rPr>
                        <w:rFonts w:ascii="Arial" w:hAnsi="Arial" w:cs="Arial"/>
                        <w:b/>
                        <w:bCs/>
                        <w:spacing w:val="-1"/>
                        <w:sz w:val="22"/>
                        <w:szCs w:val="22"/>
                      </w:rPr>
                    </w:pPr>
                    <w:r>
                      <w:rPr>
                        <w:rFonts w:ascii="Arial" w:hAnsi="Arial" w:cs="Arial"/>
                        <w:b/>
                        <w:bCs/>
                        <w:sz w:val="22"/>
                        <w:szCs w:val="22"/>
                      </w:rPr>
                      <w:t>D</w:t>
                    </w:r>
                    <w:r>
                      <w:rPr>
                        <w:rFonts w:ascii="Arial" w:hAnsi="Arial" w:cs="Arial"/>
                        <w:b/>
                        <w:bCs/>
                        <w:sz w:val="18"/>
                        <w:szCs w:val="18"/>
                      </w:rPr>
                      <w:t xml:space="preserve">IRECT </w:t>
                    </w:r>
                    <w:r>
                      <w:rPr>
                        <w:rFonts w:ascii="Arial" w:hAnsi="Arial" w:cs="Arial"/>
                        <w:b/>
                        <w:bCs/>
                        <w:sz w:val="22"/>
                        <w:szCs w:val="22"/>
                      </w:rPr>
                      <w:t>T</w:t>
                    </w:r>
                    <w:r>
                      <w:rPr>
                        <w:rFonts w:ascii="Arial" w:hAnsi="Arial" w:cs="Arial"/>
                        <w:b/>
                        <w:bCs/>
                        <w:sz w:val="18"/>
                        <w:szCs w:val="18"/>
                      </w:rPr>
                      <w:t xml:space="preserve">ESTIMONY OF </w:t>
                    </w:r>
                    <w:r>
                      <w:rPr>
                        <w:rFonts w:ascii="Arial" w:hAnsi="Arial" w:cs="Arial"/>
                        <w:b/>
                        <w:bCs/>
                        <w:sz w:val="22"/>
                        <w:szCs w:val="22"/>
                      </w:rPr>
                      <w:t>S</w:t>
                    </w:r>
                    <w:r>
                      <w:rPr>
                        <w:rFonts w:ascii="Arial" w:hAnsi="Arial" w:cs="Arial"/>
                        <w:b/>
                        <w:bCs/>
                        <w:sz w:val="18"/>
                        <w:szCs w:val="18"/>
                      </w:rPr>
                      <w:t xml:space="preserve">TACY </w:t>
                    </w:r>
                    <w:r>
                      <w:rPr>
                        <w:rFonts w:ascii="Arial" w:hAnsi="Arial" w:cs="Arial"/>
                        <w:b/>
                        <w:bCs/>
                        <w:sz w:val="22"/>
                        <w:szCs w:val="22"/>
                      </w:rPr>
                      <w:t>R. W</w:t>
                    </w:r>
                    <w:r>
                      <w:rPr>
                        <w:rFonts w:ascii="Arial" w:hAnsi="Arial" w:cs="Arial"/>
                        <w:b/>
                        <w:bCs/>
                        <w:sz w:val="18"/>
                        <w:szCs w:val="18"/>
                      </w:rPr>
                      <w:t>HITEHURST</w:t>
                    </w:r>
                    <w:r>
                      <w:rPr>
                        <w:rFonts w:ascii="Arial" w:hAnsi="Arial" w:cs="Arial"/>
                        <w:b/>
                        <w:bCs/>
                        <w:spacing w:val="-1"/>
                        <w:sz w:val="18"/>
                        <w:szCs w:val="18"/>
                      </w:rPr>
                      <w:tab/>
                      <w:t xml:space="preserve">PUC DOCKET NO. </w:t>
                    </w:r>
                    <w:r>
                      <w:rPr>
                        <w:rFonts w:ascii="Arial" w:hAnsi="Arial" w:cs="Arial"/>
                        <w:b/>
                        <w:bCs/>
                        <w:spacing w:val="-1"/>
                        <w:sz w:val="22"/>
                        <w:szCs w:val="22"/>
                      </w:rPr>
                      <w:t>38480</w:t>
                    </w:r>
                  </w:p>
                </w:txbxContent>
              </v:textbox>
              <w10:wrap type="square" anchorx="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1794" w:rsidRDefault="00A61794" w:rsidP="00DA20A8">
    <w:pPr>
      <w:pStyle w:val="Header"/>
      <w:rPr>
        <w:snapToGrid w:val="0"/>
      </w:rPr>
    </w:pPr>
    <w:r>
      <w:rPr>
        <w:snapToGrid w:val="0"/>
      </w:rPr>
      <w:t xml:space="preserve">SOAH Docket No. </w:t>
    </w:r>
    <w:r w:rsidRPr="007D0DF1">
      <w:rPr>
        <w:snapToGrid w:val="0"/>
      </w:rPr>
      <w:t>473-1</w:t>
    </w:r>
    <w:r>
      <w:rPr>
        <w:snapToGrid w:val="0"/>
      </w:rPr>
      <w:t>9-3864</w:t>
    </w:r>
    <w:r>
      <w:rPr>
        <w:snapToGrid w:val="0"/>
      </w:rPr>
      <w:tab/>
    </w:r>
    <w:r>
      <w:rPr>
        <w:snapToGrid w:val="0"/>
      </w:rPr>
      <w:tab/>
    </w:r>
    <w:r>
      <w:rPr>
        <w:snapToGrid w:val="0"/>
      </w:rPr>
      <w:tab/>
    </w:r>
  </w:p>
  <w:p w:rsidR="00A61794" w:rsidRDefault="00A61794" w:rsidP="00DA20A8">
    <w:pPr>
      <w:pStyle w:val="Header"/>
      <w:pBdr>
        <w:bottom w:val="single" w:sz="6" w:space="1" w:color="auto"/>
      </w:pBdr>
      <w:rPr>
        <w:snapToGrid w:val="0"/>
      </w:rPr>
    </w:pPr>
    <w:r>
      <w:rPr>
        <w:snapToGrid w:val="0"/>
      </w:rPr>
      <w:t>PUC Docket No. 49421</w:t>
    </w:r>
    <w:r>
      <w:rPr>
        <w:snapToGrid w:val="0"/>
      </w:rPr>
      <w:tab/>
    </w:r>
    <w:r w:rsidRPr="00E21DEF">
      <w:rPr>
        <w:snapToGrid w:val="0"/>
      </w:rPr>
      <w:ptab w:relativeTo="margin" w:alignment="center" w:leader="none"/>
    </w:r>
    <w:r w:rsidRPr="00E21DEF">
      <w:rPr>
        <w:snapToGrid w:val="0"/>
      </w:rPr>
      <w:ptab w:relativeTo="margin" w:alignment="right" w:leader="none"/>
    </w:r>
    <w:r>
      <w:rPr>
        <w:snapToGrid w:val="0"/>
      </w:rPr>
      <w:t xml:space="preserve">Page </w:t>
    </w:r>
    <w:r w:rsidRPr="00E21DEF">
      <w:rPr>
        <w:snapToGrid w:val="0"/>
      </w:rPr>
      <w:fldChar w:fldCharType="begin"/>
    </w:r>
    <w:r w:rsidRPr="00E21DEF">
      <w:rPr>
        <w:snapToGrid w:val="0"/>
      </w:rPr>
      <w:instrText xml:space="preserve"> PAGE   \* MERGEFORMAT </w:instrText>
    </w:r>
    <w:r w:rsidRPr="00E21DEF">
      <w:rPr>
        <w:snapToGrid w:val="0"/>
      </w:rPr>
      <w:fldChar w:fldCharType="separate"/>
    </w:r>
    <w:r w:rsidR="00952EE9">
      <w:rPr>
        <w:noProof/>
        <w:snapToGrid w:val="0"/>
      </w:rPr>
      <w:t>1</w:t>
    </w:r>
    <w:r w:rsidRPr="00E21DEF">
      <w:rPr>
        <w:noProof/>
        <w:snapToGrid w:val="0"/>
      </w:rPr>
      <w:fldChar w:fldCharType="end"/>
    </w:r>
  </w:p>
  <w:p w:rsidR="00A61794" w:rsidRPr="00E21DEF" w:rsidRDefault="00A61794" w:rsidP="00DA20A8">
    <w:pPr>
      <w:pStyle w:val="Header"/>
      <w:rPr>
        <w:snapToGrid w:val="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1794" w:rsidRDefault="00A61794">
    <w:pPr>
      <w:pStyle w:val="Header"/>
      <w:framePr w:wrap="around" w:vAnchor="text" w:hAnchor="margin" w:xAlign="center" w:y="1"/>
      <w:rPr>
        <w:rStyle w:val="PageNumber"/>
      </w:rPr>
    </w:pPr>
  </w:p>
  <w:p w:rsidR="00A61794" w:rsidRPr="006A6F62" w:rsidRDefault="00A61794" w:rsidP="009064DA">
    <w:pPr>
      <w:pStyle w:val="Header"/>
      <w:tabs>
        <w:tab w:val="left" w:pos="5805"/>
      </w:tabs>
      <w:jc w:val="right"/>
      <w:rPr>
        <w:b/>
        <w:sz w:val="24"/>
        <w:szCs w:val="24"/>
      </w:rP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B1980"/>
    <w:multiLevelType w:val="hybridMultilevel"/>
    <w:tmpl w:val="07943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81ECD"/>
    <w:multiLevelType w:val="hybridMultilevel"/>
    <w:tmpl w:val="B82862F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A8F3D5E"/>
    <w:multiLevelType w:val="singleLevel"/>
    <w:tmpl w:val="71AC3216"/>
    <w:lvl w:ilvl="0">
      <w:start w:val="38"/>
      <w:numFmt w:val="decimal"/>
      <w:pStyle w:val="FOFNumbered"/>
      <w:lvlText w:val="%1."/>
      <w:lvlJc w:val="left"/>
      <w:pPr>
        <w:tabs>
          <w:tab w:val="num" w:pos="720"/>
        </w:tabs>
        <w:ind w:left="720" w:hanging="720"/>
      </w:pPr>
      <w:rPr>
        <w:rFonts w:hint="default"/>
      </w:rPr>
    </w:lvl>
  </w:abstractNum>
  <w:abstractNum w:abstractNumId="3" w15:restartNumberingAfterBreak="0">
    <w:nsid w:val="0BB67C25"/>
    <w:multiLevelType w:val="multilevel"/>
    <w:tmpl w:val="EE4A481A"/>
    <w:lvl w:ilvl="0">
      <w:start w:val="43"/>
      <w:numFmt w:val="decimal"/>
      <w:pStyle w:val="IssueList"/>
      <w:lvlText w:val="%1."/>
      <w:lvlJc w:val="left"/>
      <w:pPr>
        <w:ind w:left="1440" w:hanging="360"/>
      </w:pPr>
      <w:rPr>
        <w:rFonts w:hint="default"/>
      </w:rPr>
    </w:lvl>
    <w:lvl w:ilvl="1">
      <w:start w:val="1"/>
      <w:numFmt w:val="lowerLetter"/>
      <w:pStyle w:val="Issuesublist"/>
      <w:lvlText w:val="%2."/>
      <w:lvlJc w:val="left"/>
      <w:pPr>
        <w:ind w:left="1800" w:hanging="360"/>
      </w:pPr>
      <w:rPr>
        <w:rFonts w:hint="default"/>
      </w:rPr>
    </w:lvl>
    <w:lvl w:ilvl="2">
      <w:start w:val="1"/>
      <w:numFmt w:val="lowerRoman"/>
      <w:pStyle w:val="Issuesub2list"/>
      <w:lvlText w:val="%3."/>
      <w:lvlJc w:val="left"/>
      <w:pPr>
        <w:ind w:left="2160" w:hanging="36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4" w15:restartNumberingAfterBreak="0">
    <w:nsid w:val="10E71E2A"/>
    <w:multiLevelType w:val="hybridMultilevel"/>
    <w:tmpl w:val="ADF2B37A"/>
    <w:lvl w:ilvl="0" w:tplc="04090001">
      <w:start w:val="1"/>
      <w:numFmt w:val="bullet"/>
      <w:lvlText w:val=""/>
      <w:lvlJc w:val="left"/>
      <w:pPr>
        <w:ind w:left="5400" w:hanging="360"/>
      </w:pPr>
      <w:rPr>
        <w:rFonts w:ascii="Symbol" w:hAnsi="Symbol" w:hint="default"/>
      </w:rPr>
    </w:lvl>
    <w:lvl w:ilvl="1" w:tplc="04090003">
      <w:start w:val="1"/>
      <w:numFmt w:val="bullet"/>
      <w:lvlText w:val="o"/>
      <w:lvlJc w:val="left"/>
      <w:pPr>
        <w:ind w:left="6120" w:hanging="360"/>
      </w:pPr>
      <w:rPr>
        <w:rFonts w:ascii="Courier New" w:hAnsi="Courier New" w:cs="Courier New" w:hint="default"/>
      </w:rPr>
    </w:lvl>
    <w:lvl w:ilvl="2" w:tplc="04090005" w:tentative="1">
      <w:start w:val="1"/>
      <w:numFmt w:val="bullet"/>
      <w:lvlText w:val=""/>
      <w:lvlJc w:val="left"/>
      <w:pPr>
        <w:ind w:left="6840" w:hanging="360"/>
      </w:pPr>
      <w:rPr>
        <w:rFonts w:ascii="Wingdings" w:hAnsi="Wingdings" w:hint="default"/>
      </w:rPr>
    </w:lvl>
    <w:lvl w:ilvl="3" w:tplc="04090001" w:tentative="1">
      <w:start w:val="1"/>
      <w:numFmt w:val="bullet"/>
      <w:lvlText w:val=""/>
      <w:lvlJc w:val="left"/>
      <w:pPr>
        <w:ind w:left="7560" w:hanging="360"/>
      </w:pPr>
      <w:rPr>
        <w:rFonts w:ascii="Symbol" w:hAnsi="Symbol" w:hint="default"/>
      </w:rPr>
    </w:lvl>
    <w:lvl w:ilvl="4" w:tplc="04090003" w:tentative="1">
      <w:start w:val="1"/>
      <w:numFmt w:val="bullet"/>
      <w:lvlText w:val="o"/>
      <w:lvlJc w:val="left"/>
      <w:pPr>
        <w:ind w:left="8280" w:hanging="360"/>
      </w:pPr>
      <w:rPr>
        <w:rFonts w:ascii="Courier New" w:hAnsi="Courier New" w:cs="Courier New" w:hint="default"/>
      </w:rPr>
    </w:lvl>
    <w:lvl w:ilvl="5" w:tplc="04090005" w:tentative="1">
      <w:start w:val="1"/>
      <w:numFmt w:val="bullet"/>
      <w:lvlText w:val=""/>
      <w:lvlJc w:val="left"/>
      <w:pPr>
        <w:ind w:left="9000" w:hanging="360"/>
      </w:pPr>
      <w:rPr>
        <w:rFonts w:ascii="Wingdings" w:hAnsi="Wingdings" w:hint="default"/>
      </w:rPr>
    </w:lvl>
    <w:lvl w:ilvl="6" w:tplc="04090001" w:tentative="1">
      <w:start w:val="1"/>
      <w:numFmt w:val="bullet"/>
      <w:lvlText w:val=""/>
      <w:lvlJc w:val="left"/>
      <w:pPr>
        <w:ind w:left="9720" w:hanging="360"/>
      </w:pPr>
      <w:rPr>
        <w:rFonts w:ascii="Symbol" w:hAnsi="Symbol" w:hint="default"/>
      </w:rPr>
    </w:lvl>
    <w:lvl w:ilvl="7" w:tplc="04090003" w:tentative="1">
      <w:start w:val="1"/>
      <w:numFmt w:val="bullet"/>
      <w:lvlText w:val="o"/>
      <w:lvlJc w:val="left"/>
      <w:pPr>
        <w:ind w:left="10440" w:hanging="360"/>
      </w:pPr>
      <w:rPr>
        <w:rFonts w:ascii="Courier New" w:hAnsi="Courier New" w:cs="Courier New" w:hint="default"/>
      </w:rPr>
    </w:lvl>
    <w:lvl w:ilvl="8" w:tplc="04090005" w:tentative="1">
      <w:start w:val="1"/>
      <w:numFmt w:val="bullet"/>
      <w:lvlText w:val=""/>
      <w:lvlJc w:val="left"/>
      <w:pPr>
        <w:ind w:left="11160" w:hanging="360"/>
      </w:pPr>
      <w:rPr>
        <w:rFonts w:ascii="Wingdings" w:hAnsi="Wingdings" w:hint="default"/>
      </w:rPr>
    </w:lvl>
  </w:abstractNum>
  <w:abstractNum w:abstractNumId="5" w15:restartNumberingAfterBreak="0">
    <w:nsid w:val="1B6E74C8"/>
    <w:multiLevelType w:val="hybridMultilevel"/>
    <w:tmpl w:val="D5606012"/>
    <w:lvl w:ilvl="0" w:tplc="0DCCBFDC">
      <w:start w:val="1"/>
      <w:numFmt w:val="decimal"/>
      <w:lvlText w:val="%1."/>
      <w:lvlJc w:val="left"/>
      <w:pPr>
        <w:ind w:left="14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77B18"/>
    <w:multiLevelType w:val="hybridMultilevel"/>
    <w:tmpl w:val="3994662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319675BD"/>
    <w:multiLevelType w:val="hybridMultilevel"/>
    <w:tmpl w:val="62B64B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0F820EA"/>
    <w:multiLevelType w:val="hybridMultilevel"/>
    <w:tmpl w:val="7E96B452"/>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1BE4A33"/>
    <w:multiLevelType w:val="hybridMultilevel"/>
    <w:tmpl w:val="81E6D56A"/>
    <w:lvl w:ilvl="0" w:tplc="A6186606">
      <w:start w:val="4"/>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334862"/>
    <w:multiLevelType w:val="singleLevel"/>
    <w:tmpl w:val="1DF0C1B6"/>
    <w:lvl w:ilvl="0">
      <w:start w:val="1"/>
      <w:numFmt w:val="upperRoman"/>
      <w:pStyle w:val="Heading4"/>
      <w:lvlText w:val="%1."/>
      <w:lvlJc w:val="left"/>
      <w:pPr>
        <w:tabs>
          <w:tab w:val="num" w:pos="720"/>
        </w:tabs>
        <w:ind w:left="720" w:hanging="720"/>
      </w:pPr>
      <w:rPr>
        <w:rFonts w:hint="default"/>
      </w:rPr>
    </w:lvl>
  </w:abstractNum>
  <w:abstractNum w:abstractNumId="11" w15:restartNumberingAfterBreak="0">
    <w:nsid w:val="56996786"/>
    <w:multiLevelType w:val="hybridMultilevel"/>
    <w:tmpl w:val="7C52E334"/>
    <w:lvl w:ilvl="0" w:tplc="380EF7C4">
      <w:start w:val="1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855376"/>
    <w:multiLevelType w:val="singleLevel"/>
    <w:tmpl w:val="6AD03D2A"/>
    <w:lvl w:ilvl="0">
      <w:start w:val="1"/>
      <w:numFmt w:val="upperRoman"/>
      <w:pStyle w:val="Heading3"/>
      <w:lvlText w:val="%1."/>
      <w:lvlJc w:val="left"/>
      <w:pPr>
        <w:tabs>
          <w:tab w:val="num" w:pos="720"/>
        </w:tabs>
        <w:ind w:left="720" w:hanging="720"/>
      </w:pPr>
      <w:rPr>
        <w:rFonts w:hint="default"/>
      </w:rPr>
    </w:lvl>
  </w:abstractNum>
  <w:abstractNum w:abstractNumId="13" w15:restartNumberingAfterBreak="0">
    <w:nsid w:val="702052B7"/>
    <w:multiLevelType w:val="singleLevel"/>
    <w:tmpl w:val="A91E85DA"/>
    <w:lvl w:ilvl="0">
      <w:start w:val="17"/>
      <w:numFmt w:val="upperLetter"/>
      <w:pStyle w:val="Heading1"/>
      <w:lvlText w:val="%1."/>
      <w:lvlJc w:val="left"/>
      <w:pPr>
        <w:tabs>
          <w:tab w:val="num" w:pos="720"/>
        </w:tabs>
        <w:ind w:left="720" w:hanging="720"/>
      </w:pPr>
      <w:rPr>
        <w:rFonts w:hint="default"/>
      </w:rPr>
    </w:lvl>
  </w:abstractNum>
  <w:abstractNum w:abstractNumId="14" w15:restartNumberingAfterBreak="0">
    <w:nsid w:val="75D53602"/>
    <w:multiLevelType w:val="hybridMultilevel"/>
    <w:tmpl w:val="6F8EF4C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7264F0E"/>
    <w:multiLevelType w:val="hybridMultilevel"/>
    <w:tmpl w:val="2298AD9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791267AD"/>
    <w:multiLevelType w:val="hybridMultilevel"/>
    <w:tmpl w:val="7B0AADE2"/>
    <w:lvl w:ilvl="0" w:tplc="8CCACD74">
      <w:start w:val="49"/>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A61808"/>
    <w:multiLevelType w:val="hybridMultilevel"/>
    <w:tmpl w:val="106C42AC"/>
    <w:lvl w:ilvl="0" w:tplc="0DCCBFDC">
      <w:start w:val="1"/>
      <w:numFmt w:val="decimal"/>
      <w:lvlText w:val="%1."/>
      <w:lvlJc w:val="left"/>
      <w:pPr>
        <w:ind w:left="14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601251"/>
    <w:multiLevelType w:val="hybridMultilevel"/>
    <w:tmpl w:val="50E847C0"/>
    <w:lvl w:ilvl="0" w:tplc="7088AF0A">
      <w:start w:val="1"/>
      <w:numFmt w:val="decimal"/>
      <w:lvlText w:val="%1."/>
      <w:lvlJc w:val="left"/>
      <w:pPr>
        <w:ind w:left="1440" w:hanging="360"/>
      </w:pPr>
      <w:rPr>
        <w:rFonts w:hint="default"/>
        <w:b/>
      </w:rPr>
    </w:lvl>
    <w:lvl w:ilvl="1" w:tplc="04090019">
      <w:start w:val="1"/>
      <w:numFmt w:val="lowerLetter"/>
      <w:lvlText w:val="%2."/>
      <w:lvlJc w:val="left"/>
      <w:pPr>
        <w:ind w:left="1440" w:hanging="360"/>
      </w:pPr>
    </w:lvl>
    <w:lvl w:ilvl="2" w:tplc="04090019">
      <w:start w:val="1"/>
      <w:numFmt w:val="lowerLetter"/>
      <w:lvlText w:val="%3."/>
      <w:lvlJc w:val="left"/>
      <w:pPr>
        <w:ind w:left="2160" w:hanging="180"/>
      </w:pPr>
      <w:rPr>
        <w:b/>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3"/>
  </w:num>
  <w:num w:numId="3">
    <w:abstractNumId w:val="10"/>
  </w:num>
  <w:num w:numId="4">
    <w:abstractNumId w:val="2"/>
  </w:num>
  <w:num w:numId="5">
    <w:abstractNumId w:val="6"/>
  </w:num>
  <w:num w:numId="6">
    <w:abstractNumId w:val="15"/>
  </w:num>
  <w:num w:numId="7">
    <w:abstractNumId w:val="9"/>
  </w:num>
  <w:num w:numId="8">
    <w:abstractNumId w:val="11"/>
  </w:num>
  <w:num w:numId="9">
    <w:abstractNumId w:val="0"/>
  </w:num>
  <w:num w:numId="10">
    <w:abstractNumId w:val="7"/>
  </w:num>
  <w:num w:numId="11">
    <w:abstractNumId w:val="4"/>
  </w:num>
  <w:num w:numId="12">
    <w:abstractNumId w:val="1"/>
  </w:num>
  <w:num w:numId="13">
    <w:abstractNumId w:val="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5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4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6"/>
  </w:num>
  <w:num w:numId="22">
    <w:abstractNumId w:val="18"/>
  </w:num>
  <w:num w:numId="23">
    <w:abstractNumId w:val="17"/>
  </w:num>
  <w:num w:numId="2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hideSpellingErrors/>
  <w:hideGrammaticalErrors/>
  <w:activeWritingStyle w:appName="MSWord" w:lang="en-US" w:vendorID="64" w:dllVersion="131078" w:nlCheck="1"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B4C"/>
    <w:rsid w:val="00001066"/>
    <w:rsid w:val="00002357"/>
    <w:rsid w:val="0000297C"/>
    <w:rsid w:val="00002D56"/>
    <w:rsid w:val="000035B7"/>
    <w:rsid w:val="000052BC"/>
    <w:rsid w:val="00005F15"/>
    <w:rsid w:val="0000662C"/>
    <w:rsid w:val="0000706B"/>
    <w:rsid w:val="00007BA0"/>
    <w:rsid w:val="0001154A"/>
    <w:rsid w:val="000118A3"/>
    <w:rsid w:val="00011F88"/>
    <w:rsid w:val="00013335"/>
    <w:rsid w:val="000137D0"/>
    <w:rsid w:val="00014433"/>
    <w:rsid w:val="000146C8"/>
    <w:rsid w:val="00014856"/>
    <w:rsid w:val="00014CCA"/>
    <w:rsid w:val="00014D08"/>
    <w:rsid w:val="00014F3D"/>
    <w:rsid w:val="00014FA6"/>
    <w:rsid w:val="00016100"/>
    <w:rsid w:val="00016DDA"/>
    <w:rsid w:val="000177D0"/>
    <w:rsid w:val="00017AD5"/>
    <w:rsid w:val="00017CAD"/>
    <w:rsid w:val="00017F17"/>
    <w:rsid w:val="0002042C"/>
    <w:rsid w:val="000208F0"/>
    <w:rsid w:val="00022399"/>
    <w:rsid w:val="000224EB"/>
    <w:rsid w:val="00023872"/>
    <w:rsid w:val="0002392A"/>
    <w:rsid w:val="00023A64"/>
    <w:rsid w:val="000242E3"/>
    <w:rsid w:val="00024707"/>
    <w:rsid w:val="00024C4B"/>
    <w:rsid w:val="00024E81"/>
    <w:rsid w:val="00026478"/>
    <w:rsid w:val="000265B5"/>
    <w:rsid w:val="000267F9"/>
    <w:rsid w:val="00031B35"/>
    <w:rsid w:val="000320CF"/>
    <w:rsid w:val="000328FC"/>
    <w:rsid w:val="0003295F"/>
    <w:rsid w:val="00032C75"/>
    <w:rsid w:val="00032FB3"/>
    <w:rsid w:val="0003391E"/>
    <w:rsid w:val="000346DE"/>
    <w:rsid w:val="0003499C"/>
    <w:rsid w:val="00034A91"/>
    <w:rsid w:val="000351B8"/>
    <w:rsid w:val="00035707"/>
    <w:rsid w:val="00035D73"/>
    <w:rsid w:val="000364D0"/>
    <w:rsid w:val="00036857"/>
    <w:rsid w:val="00036E50"/>
    <w:rsid w:val="000371C7"/>
    <w:rsid w:val="000377F9"/>
    <w:rsid w:val="000378A4"/>
    <w:rsid w:val="0004069F"/>
    <w:rsid w:val="00040A41"/>
    <w:rsid w:val="00040F5B"/>
    <w:rsid w:val="0004103A"/>
    <w:rsid w:val="000416CD"/>
    <w:rsid w:val="00041C9A"/>
    <w:rsid w:val="00041DC7"/>
    <w:rsid w:val="000425F2"/>
    <w:rsid w:val="000429B2"/>
    <w:rsid w:val="00042BB6"/>
    <w:rsid w:val="00043777"/>
    <w:rsid w:val="000448BE"/>
    <w:rsid w:val="0004515F"/>
    <w:rsid w:val="000452FE"/>
    <w:rsid w:val="000455E1"/>
    <w:rsid w:val="00045F5A"/>
    <w:rsid w:val="000464BC"/>
    <w:rsid w:val="0004674A"/>
    <w:rsid w:val="000467E7"/>
    <w:rsid w:val="00046C81"/>
    <w:rsid w:val="000472F3"/>
    <w:rsid w:val="000477DF"/>
    <w:rsid w:val="000511AC"/>
    <w:rsid w:val="000516B8"/>
    <w:rsid w:val="0005230A"/>
    <w:rsid w:val="000525C4"/>
    <w:rsid w:val="00052718"/>
    <w:rsid w:val="000530E3"/>
    <w:rsid w:val="00053BAB"/>
    <w:rsid w:val="00053E43"/>
    <w:rsid w:val="0005491E"/>
    <w:rsid w:val="00054EC4"/>
    <w:rsid w:val="00054FD0"/>
    <w:rsid w:val="0005598E"/>
    <w:rsid w:val="00055B51"/>
    <w:rsid w:val="00056636"/>
    <w:rsid w:val="00056926"/>
    <w:rsid w:val="00056DF9"/>
    <w:rsid w:val="00056E85"/>
    <w:rsid w:val="0005792D"/>
    <w:rsid w:val="00057983"/>
    <w:rsid w:val="000579E5"/>
    <w:rsid w:val="00060D2A"/>
    <w:rsid w:val="0006107F"/>
    <w:rsid w:val="00061309"/>
    <w:rsid w:val="00061935"/>
    <w:rsid w:val="00061A72"/>
    <w:rsid w:val="000628B2"/>
    <w:rsid w:val="00062F08"/>
    <w:rsid w:val="00063A5C"/>
    <w:rsid w:val="000642D3"/>
    <w:rsid w:val="00064843"/>
    <w:rsid w:val="00064D40"/>
    <w:rsid w:val="000654E4"/>
    <w:rsid w:val="000665F9"/>
    <w:rsid w:val="000671D5"/>
    <w:rsid w:val="00067639"/>
    <w:rsid w:val="000677BF"/>
    <w:rsid w:val="0006787C"/>
    <w:rsid w:val="000678AF"/>
    <w:rsid w:val="00067AB7"/>
    <w:rsid w:val="00067B35"/>
    <w:rsid w:val="00067C8C"/>
    <w:rsid w:val="0007053C"/>
    <w:rsid w:val="0007095D"/>
    <w:rsid w:val="00070F55"/>
    <w:rsid w:val="00071C9F"/>
    <w:rsid w:val="00071D47"/>
    <w:rsid w:val="00073F3A"/>
    <w:rsid w:val="000750B2"/>
    <w:rsid w:val="000754AD"/>
    <w:rsid w:val="0007577A"/>
    <w:rsid w:val="000757B6"/>
    <w:rsid w:val="00076026"/>
    <w:rsid w:val="00076239"/>
    <w:rsid w:val="000774B0"/>
    <w:rsid w:val="000807D8"/>
    <w:rsid w:val="00080DB9"/>
    <w:rsid w:val="00080F33"/>
    <w:rsid w:val="00081747"/>
    <w:rsid w:val="00081A76"/>
    <w:rsid w:val="00081AE7"/>
    <w:rsid w:val="00082362"/>
    <w:rsid w:val="00082537"/>
    <w:rsid w:val="00082558"/>
    <w:rsid w:val="00082686"/>
    <w:rsid w:val="00082ABC"/>
    <w:rsid w:val="00083321"/>
    <w:rsid w:val="0008394A"/>
    <w:rsid w:val="00083EFC"/>
    <w:rsid w:val="00084333"/>
    <w:rsid w:val="00084ACC"/>
    <w:rsid w:val="00084BB6"/>
    <w:rsid w:val="00084C24"/>
    <w:rsid w:val="00084FD5"/>
    <w:rsid w:val="000852BC"/>
    <w:rsid w:val="00085305"/>
    <w:rsid w:val="00085393"/>
    <w:rsid w:val="00085617"/>
    <w:rsid w:val="00086675"/>
    <w:rsid w:val="00087318"/>
    <w:rsid w:val="000877A3"/>
    <w:rsid w:val="000879ED"/>
    <w:rsid w:val="00087CA7"/>
    <w:rsid w:val="00090813"/>
    <w:rsid w:val="00090943"/>
    <w:rsid w:val="00090D3E"/>
    <w:rsid w:val="00091943"/>
    <w:rsid w:val="00091FBB"/>
    <w:rsid w:val="0009369D"/>
    <w:rsid w:val="0009431D"/>
    <w:rsid w:val="0009502F"/>
    <w:rsid w:val="00095C44"/>
    <w:rsid w:val="000961CC"/>
    <w:rsid w:val="000962AB"/>
    <w:rsid w:val="00096E29"/>
    <w:rsid w:val="00096F93"/>
    <w:rsid w:val="000973F0"/>
    <w:rsid w:val="0009785A"/>
    <w:rsid w:val="00097ADD"/>
    <w:rsid w:val="00097B96"/>
    <w:rsid w:val="00097E70"/>
    <w:rsid w:val="000A07AB"/>
    <w:rsid w:val="000A0E00"/>
    <w:rsid w:val="000A0F79"/>
    <w:rsid w:val="000A1777"/>
    <w:rsid w:val="000A1830"/>
    <w:rsid w:val="000A183E"/>
    <w:rsid w:val="000A2E3E"/>
    <w:rsid w:val="000A2EB4"/>
    <w:rsid w:val="000A331C"/>
    <w:rsid w:val="000A34BC"/>
    <w:rsid w:val="000A354B"/>
    <w:rsid w:val="000A35F2"/>
    <w:rsid w:val="000A43DF"/>
    <w:rsid w:val="000A4900"/>
    <w:rsid w:val="000A5631"/>
    <w:rsid w:val="000A5EE5"/>
    <w:rsid w:val="000A6577"/>
    <w:rsid w:val="000A68B0"/>
    <w:rsid w:val="000A6C44"/>
    <w:rsid w:val="000A72A3"/>
    <w:rsid w:val="000A75F8"/>
    <w:rsid w:val="000A787D"/>
    <w:rsid w:val="000A7DA1"/>
    <w:rsid w:val="000B01BB"/>
    <w:rsid w:val="000B01E4"/>
    <w:rsid w:val="000B0877"/>
    <w:rsid w:val="000B12A5"/>
    <w:rsid w:val="000B15DD"/>
    <w:rsid w:val="000B167A"/>
    <w:rsid w:val="000B4355"/>
    <w:rsid w:val="000B49FA"/>
    <w:rsid w:val="000B4F28"/>
    <w:rsid w:val="000B5590"/>
    <w:rsid w:val="000B5A6B"/>
    <w:rsid w:val="000B5DE1"/>
    <w:rsid w:val="000B79F5"/>
    <w:rsid w:val="000C0148"/>
    <w:rsid w:val="000C04DF"/>
    <w:rsid w:val="000C25FD"/>
    <w:rsid w:val="000C2AC8"/>
    <w:rsid w:val="000C34B9"/>
    <w:rsid w:val="000C3569"/>
    <w:rsid w:val="000C380B"/>
    <w:rsid w:val="000C3B14"/>
    <w:rsid w:val="000C3C31"/>
    <w:rsid w:val="000C41FF"/>
    <w:rsid w:val="000C4388"/>
    <w:rsid w:val="000C443B"/>
    <w:rsid w:val="000C4E78"/>
    <w:rsid w:val="000C5114"/>
    <w:rsid w:val="000C5A51"/>
    <w:rsid w:val="000C670B"/>
    <w:rsid w:val="000C788E"/>
    <w:rsid w:val="000D0074"/>
    <w:rsid w:val="000D02F5"/>
    <w:rsid w:val="000D08FE"/>
    <w:rsid w:val="000D1EE1"/>
    <w:rsid w:val="000D22FE"/>
    <w:rsid w:val="000D2686"/>
    <w:rsid w:val="000D2A3E"/>
    <w:rsid w:val="000D2B08"/>
    <w:rsid w:val="000D3413"/>
    <w:rsid w:val="000D34FF"/>
    <w:rsid w:val="000D3FEC"/>
    <w:rsid w:val="000D4EE1"/>
    <w:rsid w:val="000D4F5A"/>
    <w:rsid w:val="000D515A"/>
    <w:rsid w:val="000D5E1D"/>
    <w:rsid w:val="000D6391"/>
    <w:rsid w:val="000D6D80"/>
    <w:rsid w:val="000D7433"/>
    <w:rsid w:val="000D7CDE"/>
    <w:rsid w:val="000E0CC6"/>
    <w:rsid w:val="000E1B2E"/>
    <w:rsid w:val="000E2405"/>
    <w:rsid w:val="000E297F"/>
    <w:rsid w:val="000E4550"/>
    <w:rsid w:val="000E5E51"/>
    <w:rsid w:val="000E5F98"/>
    <w:rsid w:val="000E6712"/>
    <w:rsid w:val="000E69E4"/>
    <w:rsid w:val="000E6E53"/>
    <w:rsid w:val="000F08A8"/>
    <w:rsid w:val="000F106D"/>
    <w:rsid w:val="000F1A0C"/>
    <w:rsid w:val="000F1D01"/>
    <w:rsid w:val="000F21D7"/>
    <w:rsid w:val="000F267A"/>
    <w:rsid w:val="000F267C"/>
    <w:rsid w:val="000F2F17"/>
    <w:rsid w:val="000F38D6"/>
    <w:rsid w:val="000F3BE9"/>
    <w:rsid w:val="000F4458"/>
    <w:rsid w:val="000F467E"/>
    <w:rsid w:val="000F4EFA"/>
    <w:rsid w:val="000F529E"/>
    <w:rsid w:val="000F5F6F"/>
    <w:rsid w:val="000F6215"/>
    <w:rsid w:val="000F630A"/>
    <w:rsid w:val="000F749E"/>
    <w:rsid w:val="000F7AC8"/>
    <w:rsid w:val="000F7BA7"/>
    <w:rsid w:val="000F7EAD"/>
    <w:rsid w:val="0010009B"/>
    <w:rsid w:val="00100FF7"/>
    <w:rsid w:val="00101206"/>
    <w:rsid w:val="00101869"/>
    <w:rsid w:val="00101B02"/>
    <w:rsid w:val="00101B63"/>
    <w:rsid w:val="001022E4"/>
    <w:rsid w:val="00102F07"/>
    <w:rsid w:val="00103159"/>
    <w:rsid w:val="00103B42"/>
    <w:rsid w:val="00105401"/>
    <w:rsid w:val="00106147"/>
    <w:rsid w:val="00106155"/>
    <w:rsid w:val="001062D9"/>
    <w:rsid w:val="00106F87"/>
    <w:rsid w:val="0010730E"/>
    <w:rsid w:val="00107405"/>
    <w:rsid w:val="00107F01"/>
    <w:rsid w:val="001111B5"/>
    <w:rsid w:val="00112B04"/>
    <w:rsid w:val="00112B8F"/>
    <w:rsid w:val="00113684"/>
    <w:rsid w:val="0011430E"/>
    <w:rsid w:val="00114411"/>
    <w:rsid w:val="00114DE6"/>
    <w:rsid w:val="00115A19"/>
    <w:rsid w:val="00115C1C"/>
    <w:rsid w:val="00116410"/>
    <w:rsid w:val="00116C15"/>
    <w:rsid w:val="00116F77"/>
    <w:rsid w:val="00116FF1"/>
    <w:rsid w:val="00117EAB"/>
    <w:rsid w:val="00121167"/>
    <w:rsid w:val="001214C8"/>
    <w:rsid w:val="0012174E"/>
    <w:rsid w:val="00122A96"/>
    <w:rsid w:val="00122BA9"/>
    <w:rsid w:val="00124B46"/>
    <w:rsid w:val="00124EDF"/>
    <w:rsid w:val="0012523F"/>
    <w:rsid w:val="001257A4"/>
    <w:rsid w:val="0012586B"/>
    <w:rsid w:val="0012675C"/>
    <w:rsid w:val="00126E63"/>
    <w:rsid w:val="00127ABF"/>
    <w:rsid w:val="001302AC"/>
    <w:rsid w:val="00130A79"/>
    <w:rsid w:val="00130D2A"/>
    <w:rsid w:val="001316A6"/>
    <w:rsid w:val="00131E84"/>
    <w:rsid w:val="00132151"/>
    <w:rsid w:val="0013435D"/>
    <w:rsid w:val="0013497F"/>
    <w:rsid w:val="00135A49"/>
    <w:rsid w:val="00135FF9"/>
    <w:rsid w:val="00136186"/>
    <w:rsid w:val="00136635"/>
    <w:rsid w:val="00136904"/>
    <w:rsid w:val="00137AE2"/>
    <w:rsid w:val="00137E96"/>
    <w:rsid w:val="00137F98"/>
    <w:rsid w:val="00141E3D"/>
    <w:rsid w:val="00141F59"/>
    <w:rsid w:val="00142149"/>
    <w:rsid w:val="00142F80"/>
    <w:rsid w:val="00145243"/>
    <w:rsid w:val="00145C9E"/>
    <w:rsid w:val="0014602D"/>
    <w:rsid w:val="001463DB"/>
    <w:rsid w:val="0014693A"/>
    <w:rsid w:val="00146A2F"/>
    <w:rsid w:val="00146CD9"/>
    <w:rsid w:val="001477FE"/>
    <w:rsid w:val="00150496"/>
    <w:rsid w:val="001508A5"/>
    <w:rsid w:val="00150F01"/>
    <w:rsid w:val="00151A8D"/>
    <w:rsid w:val="00152FC2"/>
    <w:rsid w:val="00153851"/>
    <w:rsid w:val="00153A4F"/>
    <w:rsid w:val="00154260"/>
    <w:rsid w:val="00155258"/>
    <w:rsid w:val="001556A9"/>
    <w:rsid w:val="001559DA"/>
    <w:rsid w:val="00155A65"/>
    <w:rsid w:val="00155BF7"/>
    <w:rsid w:val="00156032"/>
    <w:rsid w:val="00156331"/>
    <w:rsid w:val="00160A7D"/>
    <w:rsid w:val="0016166B"/>
    <w:rsid w:val="0016306F"/>
    <w:rsid w:val="001640E1"/>
    <w:rsid w:val="00165ABB"/>
    <w:rsid w:val="00166764"/>
    <w:rsid w:val="00166E6C"/>
    <w:rsid w:val="00166F74"/>
    <w:rsid w:val="00167253"/>
    <w:rsid w:val="00167999"/>
    <w:rsid w:val="00170206"/>
    <w:rsid w:val="00170287"/>
    <w:rsid w:val="00170FA1"/>
    <w:rsid w:val="0017269F"/>
    <w:rsid w:val="00172738"/>
    <w:rsid w:val="001728EC"/>
    <w:rsid w:val="00172947"/>
    <w:rsid w:val="00172D62"/>
    <w:rsid w:val="0017354A"/>
    <w:rsid w:val="00173A52"/>
    <w:rsid w:val="00173FE5"/>
    <w:rsid w:val="00174344"/>
    <w:rsid w:val="001748D3"/>
    <w:rsid w:val="00174B5E"/>
    <w:rsid w:val="00174E5A"/>
    <w:rsid w:val="0017576C"/>
    <w:rsid w:val="00176733"/>
    <w:rsid w:val="00176886"/>
    <w:rsid w:val="001768E7"/>
    <w:rsid w:val="0017747D"/>
    <w:rsid w:val="00180340"/>
    <w:rsid w:val="00180DA8"/>
    <w:rsid w:val="00181D92"/>
    <w:rsid w:val="001820E6"/>
    <w:rsid w:val="00182CE3"/>
    <w:rsid w:val="00182F48"/>
    <w:rsid w:val="001833BA"/>
    <w:rsid w:val="00183A46"/>
    <w:rsid w:val="00183F64"/>
    <w:rsid w:val="00184E1F"/>
    <w:rsid w:val="00185927"/>
    <w:rsid w:val="001868AD"/>
    <w:rsid w:val="00186BB7"/>
    <w:rsid w:val="00186DEC"/>
    <w:rsid w:val="0019093A"/>
    <w:rsid w:val="00191892"/>
    <w:rsid w:val="00191926"/>
    <w:rsid w:val="00192256"/>
    <w:rsid w:val="0019414B"/>
    <w:rsid w:val="00194A31"/>
    <w:rsid w:val="0019502C"/>
    <w:rsid w:val="00195545"/>
    <w:rsid w:val="001958D5"/>
    <w:rsid w:val="0019596E"/>
    <w:rsid w:val="00195AE6"/>
    <w:rsid w:val="001964F4"/>
    <w:rsid w:val="00196605"/>
    <w:rsid w:val="00196F80"/>
    <w:rsid w:val="00197CEC"/>
    <w:rsid w:val="001A021E"/>
    <w:rsid w:val="001A03E0"/>
    <w:rsid w:val="001A0C08"/>
    <w:rsid w:val="001A1BE9"/>
    <w:rsid w:val="001A213C"/>
    <w:rsid w:val="001A2980"/>
    <w:rsid w:val="001A3288"/>
    <w:rsid w:val="001A3604"/>
    <w:rsid w:val="001A43B2"/>
    <w:rsid w:val="001A440E"/>
    <w:rsid w:val="001A4D66"/>
    <w:rsid w:val="001A631C"/>
    <w:rsid w:val="001A663D"/>
    <w:rsid w:val="001A7052"/>
    <w:rsid w:val="001A726D"/>
    <w:rsid w:val="001A780F"/>
    <w:rsid w:val="001A7D11"/>
    <w:rsid w:val="001B075A"/>
    <w:rsid w:val="001B0CCD"/>
    <w:rsid w:val="001B0F01"/>
    <w:rsid w:val="001B144D"/>
    <w:rsid w:val="001B17BA"/>
    <w:rsid w:val="001B33D4"/>
    <w:rsid w:val="001B34BA"/>
    <w:rsid w:val="001B3C13"/>
    <w:rsid w:val="001B4013"/>
    <w:rsid w:val="001B43E3"/>
    <w:rsid w:val="001B4988"/>
    <w:rsid w:val="001B5577"/>
    <w:rsid w:val="001B5BEE"/>
    <w:rsid w:val="001B5F4B"/>
    <w:rsid w:val="001B63BC"/>
    <w:rsid w:val="001B6F38"/>
    <w:rsid w:val="001B7064"/>
    <w:rsid w:val="001C0639"/>
    <w:rsid w:val="001C0AA5"/>
    <w:rsid w:val="001C0AAF"/>
    <w:rsid w:val="001C15DC"/>
    <w:rsid w:val="001C1BBD"/>
    <w:rsid w:val="001C21E6"/>
    <w:rsid w:val="001C2EE5"/>
    <w:rsid w:val="001C34BE"/>
    <w:rsid w:val="001C395F"/>
    <w:rsid w:val="001C43C2"/>
    <w:rsid w:val="001C49DB"/>
    <w:rsid w:val="001C5037"/>
    <w:rsid w:val="001C52CF"/>
    <w:rsid w:val="001C5776"/>
    <w:rsid w:val="001C74E4"/>
    <w:rsid w:val="001C79D2"/>
    <w:rsid w:val="001C79E6"/>
    <w:rsid w:val="001C7AE0"/>
    <w:rsid w:val="001C7F25"/>
    <w:rsid w:val="001D12F4"/>
    <w:rsid w:val="001D1BC5"/>
    <w:rsid w:val="001D2921"/>
    <w:rsid w:val="001D3828"/>
    <w:rsid w:val="001D3A20"/>
    <w:rsid w:val="001D3AEE"/>
    <w:rsid w:val="001D3B15"/>
    <w:rsid w:val="001D3C8A"/>
    <w:rsid w:val="001D3E6A"/>
    <w:rsid w:val="001D3EB0"/>
    <w:rsid w:val="001D3FFC"/>
    <w:rsid w:val="001D41B7"/>
    <w:rsid w:val="001D571F"/>
    <w:rsid w:val="001D5D32"/>
    <w:rsid w:val="001D5FDB"/>
    <w:rsid w:val="001D6286"/>
    <w:rsid w:val="001D6650"/>
    <w:rsid w:val="001D711F"/>
    <w:rsid w:val="001D748B"/>
    <w:rsid w:val="001D7C33"/>
    <w:rsid w:val="001D7F44"/>
    <w:rsid w:val="001E028B"/>
    <w:rsid w:val="001E0783"/>
    <w:rsid w:val="001E09BA"/>
    <w:rsid w:val="001E14B1"/>
    <w:rsid w:val="001E1670"/>
    <w:rsid w:val="001E1899"/>
    <w:rsid w:val="001E2047"/>
    <w:rsid w:val="001E28A9"/>
    <w:rsid w:val="001E2C11"/>
    <w:rsid w:val="001E44E1"/>
    <w:rsid w:val="001E4E9F"/>
    <w:rsid w:val="001E4FAB"/>
    <w:rsid w:val="001E51CB"/>
    <w:rsid w:val="001E52C9"/>
    <w:rsid w:val="001E534E"/>
    <w:rsid w:val="001E5420"/>
    <w:rsid w:val="001E6AF6"/>
    <w:rsid w:val="001E6D1F"/>
    <w:rsid w:val="001E7130"/>
    <w:rsid w:val="001E7F92"/>
    <w:rsid w:val="001F005F"/>
    <w:rsid w:val="001F0FFA"/>
    <w:rsid w:val="001F1165"/>
    <w:rsid w:val="001F1265"/>
    <w:rsid w:val="001F198A"/>
    <w:rsid w:val="001F1A86"/>
    <w:rsid w:val="001F268D"/>
    <w:rsid w:val="001F2A3E"/>
    <w:rsid w:val="001F3652"/>
    <w:rsid w:val="001F3791"/>
    <w:rsid w:val="001F3B21"/>
    <w:rsid w:val="001F45EE"/>
    <w:rsid w:val="001F5347"/>
    <w:rsid w:val="001F577F"/>
    <w:rsid w:val="001F59C2"/>
    <w:rsid w:val="001F67D5"/>
    <w:rsid w:val="001F7570"/>
    <w:rsid w:val="001F794E"/>
    <w:rsid w:val="001F7C67"/>
    <w:rsid w:val="002001A6"/>
    <w:rsid w:val="002002DD"/>
    <w:rsid w:val="00200906"/>
    <w:rsid w:val="00200FD4"/>
    <w:rsid w:val="00201718"/>
    <w:rsid w:val="002017FE"/>
    <w:rsid w:val="002019E3"/>
    <w:rsid w:val="0020387E"/>
    <w:rsid w:val="00203980"/>
    <w:rsid w:val="002039E0"/>
    <w:rsid w:val="00203AC4"/>
    <w:rsid w:val="00203F98"/>
    <w:rsid w:val="0020410B"/>
    <w:rsid w:val="00205ACD"/>
    <w:rsid w:val="002060E1"/>
    <w:rsid w:val="00206224"/>
    <w:rsid w:val="00206C40"/>
    <w:rsid w:val="00207123"/>
    <w:rsid w:val="00207CF1"/>
    <w:rsid w:val="00210237"/>
    <w:rsid w:val="00210421"/>
    <w:rsid w:val="0021159F"/>
    <w:rsid w:val="002116FC"/>
    <w:rsid w:val="00211CCA"/>
    <w:rsid w:val="002125E8"/>
    <w:rsid w:val="00213237"/>
    <w:rsid w:val="002146E7"/>
    <w:rsid w:val="00214ACD"/>
    <w:rsid w:val="00214C65"/>
    <w:rsid w:val="002156CC"/>
    <w:rsid w:val="00216343"/>
    <w:rsid w:val="00216718"/>
    <w:rsid w:val="00216A62"/>
    <w:rsid w:val="00216FD7"/>
    <w:rsid w:val="002171DE"/>
    <w:rsid w:val="00217B5B"/>
    <w:rsid w:val="00217F19"/>
    <w:rsid w:val="002202E8"/>
    <w:rsid w:val="002205A9"/>
    <w:rsid w:val="00220C43"/>
    <w:rsid w:val="00220D7C"/>
    <w:rsid w:val="00220F38"/>
    <w:rsid w:val="00221A5D"/>
    <w:rsid w:val="0022321B"/>
    <w:rsid w:val="00223342"/>
    <w:rsid w:val="00223394"/>
    <w:rsid w:val="00223E0F"/>
    <w:rsid w:val="0022452E"/>
    <w:rsid w:val="002251AD"/>
    <w:rsid w:val="0022531E"/>
    <w:rsid w:val="00225ADC"/>
    <w:rsid w:val="00226102"/>
    <w:rsid w:val="00226765"/>
    <w:rsid w:val="002269B2"/>
    <w:rsid w:val="00226A65"/>
    <w:rsid w:val="00226C81"/>
    <w:rsid w:val="002305D0"/>
    <w:rsid w:val="002306D4"/>
    <w:rsid w:val="002307B1"/>
    <w:rsid w:val="00230E83"/>
    <w:rsid w:val="002321B8"/>
    <w:rsid w:val="0023295F"/>
    <w:rsid w:val="00232C84"/>
    <w:rsid w:val="00234620"/>
    <w:rsid w:val="00234A30"/>
    <w:rsid w:val="00234C8D"/>
    <w:rsid w:val="00234CDC"/>
    <w:rsid w:val="0023506E"/>
    <w:rsid w:val="002361C4"/>
    <w:rsid w:val="0023665C"/>
    <w:rsid w:val="00236CDF"/>
    <w:rsid w:val="00236F72"/>
    <w:rsid w:val="00237D2A"/>
    <w:rsid w:val="00237D51"/>
    <w:rsid w:val="0024117F"/>
    <w:rsid w:val="00241309"/>
    <w:rsid w:val="00241651"/>
    <w:rsid w:val="0024197E"/>
    <w:rsid w:val="00241C1E"/>
    <w:rsid w:val="0024205E"/>
    <w:rsid w:val="00242D3A"/>
    <w:rsid w:val="00242D90"/>
    <w:rsid w:val="00245048"/>
    <w:rsid w:val="00245EC5"/>
    <w:rsid w:val="0024727F"/>
    <w:rsid w:val="00247E64"/>
    <w:rsid w:val="0025137B"/>
    <w:rsid w:val="00251B01"/>
    <w:rsid w:val="00252AFA"/>
    <w:rsid w:val="00253036"/>
    <w:rsid w:val="0025383B"/>
    <w:rsid w:val="00255C03"/>
    <w:rsid w:val="002564CE"/>
    <w:rsid w:val="002568C5"/>
    <w:rsid w:val="00257215"/>
    <w:rsid w:val="0025779E"/>
    <w:rsid w:val="00260C93"/>
    <w:rsid w:val="00261BB8"/>
    <w:rsid w:val="0026218B"/>
    <w:rsid w:val="00262538"/>
    <w:rsid w:val="00262978"/>
    <w:rsid w:val="0026363B"/>
    <w:rsid w:val="00263B45"/>
    <w:rsid w:val="0026413A"/>
    <w:rsid w:val="00264278"/>
    <w:rsid w:val="002644FF"/>
    <w:rsid w:val="0026495F"/>
    <w:rsid w:val="00264E84"/>
    <w:rsid w:val="0026541F"/>
    <w:rsid w:val="0026570A"/>
    <w:rsid w:val="0026696E"/>
    <w:rsid w:val="002672AC"/>
    <w:rsid w:val="00267622"/>
    <w:rsid w:val="00267C69"/>
    <w:rsid w:val="00270578"/>
    <w:rsid w:val="0027067C"/>
    <w:rsid w:val="002708B5"/>
    <w:rsid w:val="002709AC"/>
    <w:rsid w:val="00271732"/>
    <w:rsid w:val="0027261B"/>
    <w:rsid w:val="00272D1F"/>
    <w:rsid w:val="00274097"/>
    <w:rsid w:val="0027479A"/>
    <w:rsid w:val="00274FA5"/>
    <w:rsid w:val="00275274"/>
    <w:rsid w:val="00275458"/>
    <w:rsid w:val="00275621"/>
    <w:rsid w:val="00275D80"/>
    <w:rsid w:val="00275D9B"/>
    <w:rsid w:val="00275E9D"/>
    <w:rsid w:val="00276444"/>
    <w:rsid w:val="00277097"/>
    <w:rsid w:val="00277C48"/>
    <w:rsid w:val="002800F2"/>
    <w:rsid w:val="00280536"/>
    <w:rsid w:val="00280883"/>
    <w:rsid w:val="00280C9B"/>
    <w:rsid w:val="002812C5"/>
    <w:rsid w:val="002823BA"/>
    <w:rsid w:val="00282837"/>
    <w:rsid w:val="00282ED8"/>
    <w:rsid w:val="00283995"/>
    <w:rsid w:val="00284C8D"/>
    <w:rsid w:val="00285565"/>
    <w:rsid w:val="0028576C"/>
    <w:rsid w:val="00285F41"/>
    <w:rsid w:val="002866F4"/>
    <w:rsid w:val="00287D40"/>
    <w:rsid w:val="00287F13"/>
    <w:rsid w:val="00287FAC"/>
    <w:rsid w:val="002903C7"/>
    <w:rsid w:val="00290447"/>
    <w:rsid w:val="0029115F"/>
    <w:rsid w:val="00291A63"/>
    <w:rsid w:val="002921FD"/>
    <w:rsid w:val="002923BF"/>
    <w:rsid w:val="002924C4"/>
    <w:rsid w:val="0029320C"/>
    <w:rsid w:val="00293C3D"/>
    <w:rsid w:val="00293D65"/>
    <w:rsid w:val="0029477F"/>
    <w:rsid w:val="00294FA8"/>
    <w:rsid w:val="00295673"/>
    <w:rsid w:val="00295A7C"/>
    <w:rsid w:val="00295FD6"/>
    <w:rsid w:val="0029666C"/>
    <w:rsid w:val="00296886"/>
    <w:rsid w:val="00297A20"/>
    <w:rsid w:val="002A000E"/>
    <w:rsid w:val="002A0084"/>
    <w:rsid w:val="002A0ACC"/>
    <w:rsid w:val="002A0B3E"/>
    <w:rsid w:val="002A10AB"/>
    <w:rsid w:val="002A164B"/>
    <w:rsid w:val="002A237C"/>
    <w:rsid w:val="002A23FA"/>
    <w:rsid w:val="002A2410"/>
    <w:rsid w:val="002A252F"/>
    <w:rsid w:val="002A2C54"/>
    <w:rsid w:val="002A43AF"/>
    <w:rsid w:val="002A4D9E"/>
    <w:rsid w:val="002A5397"/>
    <w:rsid w:val="002A59D2"/>
    <w:rsid w:val="002A79A5"/>
    <w:rsid w:val="002A79EB"/>
    <w:rsid w:val="002A7AF1"/>
    <w:rsid w:val="002B0E44"/>
    <w:rsid w:val="002B1100"/>
    <w:rsid w:val="002B1221"/>
    <w:rsid w:val="002B14FE"/>
    <w:rsid w:val="002B18C0"/>
    <w:rsid w:val="002B1DA4"/>
    <w:rsid w:val="002B2382"/>
    <w:rsid w:val="002B3894"/>
    <w:rsid w:val="002B3E96"/>
    <w:rsid w:val="002B4810"/>
    <w:rsid w:val="002B4EE6"/>
    <w:rsid w:val="002B5443"/>
    <w:rsid w:val="002B55E9"/>
    <w:rsid w:val="002B58FD"/>
    <w:rsid w:val="002B643A"/>
    <w:rsid w:val="002B6C0E"/>
    <w:rsid w:val="002B6EED"/>
    <w:rsid w:val="002B7204"/>
    <w:rsid w:val="002B78BA"/>
    <w:rsid w:val="002C0ABA"/>
    <w:rsid w:val="002C100A"/>
    <w:rsid w:val="002C1C72"/>
    <w:rsid w:val="002C1EF4"/>
    <w:rsid w:val="002C29DB"/>
    <w:rsid w:val="002C2AE5"/>
    <w:rsid w:val="002C3969"/>
    <w:rsid w:val="002C4244"/>
    <w:rsid w:val="002C4F69"/>
    <w:rsid w:val="002C5908"/>
    <w:rsid w:val="002C6948"/>
    <w:rsid w:val="002C69EB"/>
    <w:rsid w:val="002C6F12"/>
    <w:rsid w:val="002C7690"/>
    <w:rsid w:val="002C769D"/>
    <w:rsid w:val="002C7B1B"/>
    <w:rsid w:val="002C7B89"/>
    <w:rsid w:val="002D0161"/>
    <w:rsid w:val="002D01D3"/>
    <w:rsid w:val="002D0E7F"/>
    <w:rsid w:val="002D1106"/>
    <w:rsid w:val="002D12C0"/>
    <w:rsid w:val="002D15D0"/>
    <w:rsid w:val="002D15E1"/>
    <w:rsid w:val="002D365F"/>
    <w:rsid w:val="002D36E0"/>
    <w:rsid w:val="002D3739"/>
    <w:rsid w:val="002D387B"/>
    <w:rsid w:val="002D4108"/>
    <w:rsid w:val="002D4110"/>
    <w:rsid w:val="002D4699"/>
    <w:rsid w:val="002D50FE"/>
    <w:rsid w:val="002D6159"/>
    <w:rsid w:val="002D61C1"/>
    <w:rsid w:val="002D67A5"/>
    <w:rsid w:val="002D6877"/>
    <w:rsid w:val="002D6C9F"/>
    <w:rsid w:val="002D723D"/>
    <w:rsid w:val="002D7471"/>
    <w:rsid w:val="002E0788"/>
    <w:rsid w:val="002E09A2"/>
    <w:rsid w:val="002E1182"/>
    <w:rsid w:val="002E2625"/>
    <w:rsid w:val="002E2790"/>
    <w:rsid w:val="002E3977"/>
    <w:rsid w:val="002E40BB"/>
    <w:rsid w:val="002E58EE"/>
    <w:rsid w:val="002E5D37"/>
    <w:rsid w:val="002E5FAC"/>
    <w:rsid w:val="002E60EB"/>
    <w:rsid w:val="002E64BE"/>
    <w:rsid w:val="002E7380"/>
    <w:rsid w:val="002E7E47"/>
    <w:rsid w:val="002F019B"/>
    <w:rsid w:val="002F0537"/>
    <w:rsid w:val="002F061D"/>
    <w:rsid w:val="002F0A4A"/>
    <w:rsid w:val="002F0FFA"/>
    <w:rsid w:val="002F1662"/>
    <w:rsid w:val="002F1BA6"/>
    <w:rsid w:val="002F2343"/>
    <w:rsid w:val="002F24B5"/>
    <w:rsid w:val="002F26D0"/>
    <w:rsid w:val="002F27D7"/>
    <w:rsid w:val="002F2B34"/>
    <w:rsid w:val="002F2BC2"/>
    <w:rsid w:val="002F2C69"/>
    <w:rsid w:val="002F33FA"/>
    <w:rsid w:val="002F3B1E"/>
    <w:rsid w:val="002F43AE"/>
    <w:rsid w:val="002F4817"/>
    <w:rsid w:val="002F4853"/>
    <w:rsid w:val="002F4983"/>
    <w:rsid w:val="002F5438"/>
    <w:rsid w:val="002F560B"/>
    <w:rsid w:val="002F64DA"/>
    <w:rsid w:val="002F7CD1"/>
    <w:rsid w:val="002F7D55"/>
    <w:rsid w:val="002F7E8E"/>
    <w:rsid w:val="00300839"/>
    <w:rsid w:val="00300A7D"/>
    <w:rsid w:val="003010F3"/>
    <w:rsid w:val="00301261"/>
    <w:rsid w:val="00301439"/>
    <w:rsid w:val="00301D7E"/>
    <w:rsid w:val="00302867"/>
    <w:rsid w:val="0030423D"/>
    <w:rsid w:val="00304B0E"/>
    <w:rsid w:val="00304B78"/>
    <w:rsid w:val="00304D1B"/>
    <w:rsid w:val="00304DD2"/>
    <w:rsid w:val="00305491"/>
    <w:rsid w:val="003055A6"/>
    <w:rsid w:val="00305BF6"/>
    <w:rsid w:val="003060F0"/>
    <w:rsid w:val="0030621B"/>
    <w:rsid w:val="00306D7B"/>
    <w:rsid w:val="00306E48"/>
    <w:rsid w:val="00307320"/>
    <w:rsid w:val="00307341"/>
    <w:rsid w:val="00310DF1"/>
    <w:rsid w:val="00311261"/>
    <w:rsid w:val="003116FA"/>
    <w:rsid w:val="003120DC"/>
    <w:rsid w:val="00312213"/>
    <w:rsid w:val="0031268E"/>
    <w:rsid w:val="003138FD"/>
    <w:rsid w:val="00314182"/>
    <w:rsid w:val="00314516"/>
    <w:rsid w:val="00314B8F"/>
    <w:rsid w:val="00315CA7"/>
    <w:rsid w:val="00315EEE"/>
    <w:rsid w:val="003163F0"/>
    <w:rsid w:val="0031697B"/>
    <w:rsid w:val="00317509"/>
    <w:rsid w:val="00317635"/>
    <w:rsid w:val="003179C3"/>
    <w:rsid w:val="00317EDA"/>
    <w:rsid w:val="00320CF9"/>
    <w:rsid w:val="00321725"/>
    <w:rsid w:val="00321B7E"/>
    <w:rsid w:val="003222C9"/>
    <w:rsid w:val="00322882"/>
    <w:rsid w:val="00322BEE"/>
    <w:rsid w:val="00323072"/>
    <w:rsid w:val="00323D93"/>
    <w:rsid w:val="00323ED2"/>
    <w:rsid w:val="00324256"/>
    <w:rsid w:val="003263BA"/>
    <w:rsid w:val="00326697"/>
    <w:rsid w:val="003267D1"/>
    <w:rsid w:val="00326CCC"/>
    <w:rsid w:val="00326D44"/>
    <w:rsid w:val="0032793B"/>
    <w:rsid w:val="00327E11"/>
    <w:rsid w:val="00327E2A"/>
    <w:rsid w:val="00327F30"/>
    <w:rsid w:val="003319D5"/>
    <w:rsid w:val="0033228B"/>
    <w:rsid w:val="003336FE"/>
    <w:rsid w:val="00334997"/>
    <w:rsid w:val="00334A73"/>
    <w:rsid w:val="00335CA0"/>
    <w:rsid w:val="00335DCE"/>
    <w:rsid w:val="00335E54"/>
    <w:rsid w:val="00336F07"/>
    <w:rsid w:val="00340163"/>
    <w:rsid w:val="00340A97"/>
    <w:rsid w:val="0034151C"/>
    <w:rsid w:val="003418A5"/>
    <w:rsid w:val="00341BEE"/>
    <w:rsid w:val="003430D9"/>
    <w:rsid w:val="00343A89"/>
    <w:rsid w:val="00343C6A"/>
    <w:rsid w:val="003449B9"/>
    <w:rsid w:val="003449FB"/>
    <w:rsid w:val="003453E9"/>
    <w:rsid w:val="00345437"/>
    <w:rsid w:val="00345828"/>
    <w:rsid w:val="00345B39"/>
    <w:rsid w:val="00345C53"/>
    <w:rsid w:val="00345F5B"/>
    <w:rsid w:val="00346441"/>
    <w:rsid w:val="00346FBA"/>
    <w:rsid w:val="003472A8"/>
    <w:rsid w:val="00350319"/>
    <w:rsid w:val="00351593"/>
    <w:rsid w:val="00351A49"/>
    <w:rsid w:val="00351BD1"/>
    <w:rsid w:val="003521F1"/>
    <w:rsid w:val="00352427"/>
    <w:rsid w:val="00352EB8"/>
    <w:rsid w:val="0035438D"/>
    <w:rsid w:val="003547C8"/>
    <w:rsid w:val="0035522C"/>
    <w:rsid w:val="003559AC"/>
    <w:rsid w:val="00356280"/>
    <w:rsid w:val="003562B6"/>
    <w:rsid w:val="00356897"/>
    <w:rsid w:val="003569B4"/>
    <w:rsid w:val="003570BD"/>
    <w:rsid w:val="0035757D"/>
    <w:rsid w:val="00357A88"/>
    <w:rsid w:val="00357B84"/>
    <w:rsid w:val="003603C1"/>
    <w:rsid w:val="00360467"/>
    <w:rsid w:val="00361C4E"/>
    <w:rsid w:val="00361DA6"/>
    <w:rsid w:val="00363B91"/>
    <w:rsid w:val="003643C8"/>
    <w:rsid w:val="003648E8"/>
    <w:rsid w:val="00364E47"/>
    <w:rsid w:val="00364ECD"/>
    <w:rsid w:val="00365286"/>
    <w:rsid w:val="00366729"/>
    <w:rsid w:val="00367838"/>
    <w:rsid w:val="003678BE"/>
    <w:rsid w:val="00367976"/>
    <w:rsid w:val="0037050F"/>
    <w:rsid w:val="0037065E"/>
    <w:rsid w:val="00370A5E"/>
    <w:rsid w:val="00371418"/>
    <w:rsid w:val="00371428"/>
    <w:rsid w:val="00371C50"/>
    <w:rsid w:val="00371E62"/>
    <w:rsid w:val="0037282D"/>
    <w:rsid w:val="00372C9F"/>
    <w:rsid w:val="00372E53"/>
    <w:rsid w:val="00372F20"/>
    <w:rsid w:val="00373575"/>
    <w:rsid w:val="00373A37"/>
    <w:rsid w:val="00373EA8"/>
    <w:rsid w:val="00374512"/>
    <w:rsid w:val="00374A08"/>
    <w:rsid w:val="00374B3B"/>
    <w:rsid w:val="00375BDE"/>
    <w:rsid w:val="00375C79"/>
    <w:rsid w:val="00375D17"/>
    <w:rsid w:val="00375D3A"/>
    <w:rsid w:val="003765DA"/>
    <w:rsid w:val="00377AE0"/>
    <w:rsid w:val="0038077D"/>
    <w:rsid w:val="0038232E"/>
    <w:rsid w:val="00382929"/>
    <w:rsid w:val="0038343C"/>
    <w:rsid w:val="003835B9"/>
    <w:rsid w:val="00383915"/>
    <w:rsid w:val="0038395F"/>
    <w:rsid w:val="00383DD8"/>
    <w:rsid w:val="00384D58"/>
    <w:rsid w:val="00385954"/>
    <w:rsid w:val="00386728"/>
    <w:rsid w:val="00386D60"/>
    <w:rsid w:val="003875EC"/>
    <w:rsid w:val="0038781A"/>
    <w:rsid w:val="00387F04"/>
    <w:rsid w:val="00390329"/>
    <w:rsid w:val="003915C3"/>
    <w:rsid w:val="00391C77"/>
    <w:rsid w:val="00392D3B"/>
    <w:rsid w:val="003932C2"/>
    <w:rsid w:val="00394437"/>
    <w:rsid w:val="00394474"/>
    <w:rsid w:val="00394622"/>
    <w:rsid w:val="00394D6C"/>
    <w:rsid w:val="00394E9C"/>
    <w:rsid w:val="0039528A"/>
    <w:rsid w:val="0039585B"/>
    <w:rsid w:val="00395DCA"/>
    <w:rsid w:val="00396170"/>
    <w:rsid w:val="003961C7"/>
    <w:rsid w:val="003965D0"/>
    <w:rsid w:val="00396C6E"/>
    <w:rsid w:val="00397564"/>
    <w:rsid w:val="003A03EE"/>
    <w:rsid w:val="003A0E5E"/>
    <w:rsid w:val="003A0F21"/>
    <w:rsid w:val="003A17E2"/>
    <w:rsid w:val="003A1AFC"/>
    <w:rsid w:val="003A1FDA"/>
    <w:rsid w:val="003A21A1"/>
    <w:rsid w:val="003A21C1"/>
    <w:rsid w:val="003A2982"/>
    <w:rsid w:val="003A33E5"/>
    <w:rsid w:val="003A3B65"/>
    <w:rsid w:val="003A43BC"/>
    <w:rsid w:val="003A4920"/>
    <w:rsid w:val="003A4D44"/>
    <w:rsid w:val="003A4E49"/>
    <w:rsid w:val="003A4F53"/>
    <w:rsid w:val="003A5134"/>
    <w:rsid w:val="003A582A"/>
    <w:rsid w:val="003A5FE3"/>
    <w:rsid w:val="003A60AE"/>
    <w:rsid w:val="003A63CA"/>
    <w:rsid w:val="003A6D5C"/>
    <w:rsid w:val="003A72FB"/>
    <w:rsid w:val="003B04B7"/>
    <w:rsid w:val="003B0531"/>
    <w:rsid w:val="003B0887"/>
    <w:rsid w:val="003B1080"/>
    <w:rsid w:val="003B17B4"/>
    <w:rsid w:val="003B214A"/>
    <w:rsid w:val="003B27A3"/>
    <w:rsid w:val="003B280E"/>
    <w:rsid w:val="003B2A6D"/>
    <w:rsid w:val="003B39F4"/>
    <w:rsid w:val="003B3D59"/>
    <w:rsid w:val="003B473C"/>
    <w:rsid w:val="003B4B5A"/>
    <w:rsid w:val="003B5F52"/>
    <w:rsid w:val="003B61B2"/>
    <w:rsid w:val="003B63EF"/>
    <w:rsid w:val="003B6968"/>
    <w:rsid w:val="003B6C8E"/>
    <w:rsid w:val="003B7234"/>
    <w:rsid w:val="003B726E"/>
    <w:rsid w:val="003B72A8"/>
    <w:rsid w:val="003B74E5"/>
    <w:rsid w:val="003B771D"/>
    <w:rsid w:val="003C02A2"/>
    <w:rsid w:val="003C09C4"/>
    <w:rsid w:val="003C119A"/>
    <w:rsid w:val="003C12AA"/>
    <w:rsid w:val="003C18FF"/>
    <w:rsid w:val="003C20FE"/>
    <w:rsid w:val="003C2561"/>
    <w:rsid w:val="003C2814"/>
    <w:rsid w:val="003C28FD"/>
    <w:rsid w:val="003C2979"/>
    <w:rsid w:val="003C3245"/>
    <w:rsid w:val="003C47B1"/>
    <w:rsid w:val="003C5C30"/>
    <w:rsid w:val="003C5C73"/>
    <w:rsid w:val="003C61F5"/>
    <w:rsid w:val="003C6888"/>
    <w:rsid w:val="003C6B66"/>
    <w:rsid w:val="003C6BC0"/>
    <w:rsid w:val="003C7127"/>
    <w:rsid w:val="003C7657"/>
    <w:rsid w:val="003C77A9"/>
    <w:rsid w:val="003D0BA3"/>
    <w:rsid w:val="003D0DE4"/>
    <w:rsid w:val="003D17B6"/>
    <w:rsid w:val="003D1C70"/>
    <w:rsid w:val="003D1E50"/>
    <w:rsid w:val="003D2029"/>
    <w:rsid w:val="003D2A56"/>
    <w:rsid w:val="003D2D2A"/>
    <w:rsid w:val="003D3477"/>
    <w:rsid w:val="003D3B29"/>
    <w:rsid w:val="003D4A8D"/>
    <w:rsid w:val="003D5A23"/>
    <w:rsid w:val="003D5E4A"/>
    <w:rsid w:val="003D613C"/>
    <w:rsid w:val="003D64DC"/>
    <w:rsid w:val="003D7D2D"/>
    <w:rsid w:val="003E1161"/>
    <w:rsid w:val="003E11DF"/>
    <w:rsid w:val="003E19DF"/>
    <w:rsid w:val="003E1FBD"/>
    <w:rsid w:val="003E23FE"/>
    <w:rsid w:val="003E2F84"/>
    <w:rsid w:val="003E30BE"/>
    <w:rsid w:val="003E381E"/>
    <w:rsid w:val="003E4DCD"/>
    <w:rsid w:val="003E61AB"/>
    <w:rsid w:val="003E6D8A"/>
    <w:rsid w:val="003E70E5"/>
    <w:rsid w:val="003F0248"/>
    <w:rsid w:val="003F11C6"/>
    <w:rsid w:val="003F1B6B"/>
    <w:rsid w:val="003F1C2C"/>
    <w:rsid w:val="003F1CA2"/>
    <w:rsid w:val="003F2890"/>
    <w:rsid w:val="003F2E97"/>
    <w:rsid w:val="003F3C32"/>
    <w:rsid w:val="003F3C43"/>
    <w:rsid w:val="003F3F51"/>
    <w:rsid w:val="003F434E"/>
    <w:rsid w:val="003F44F6"/>
    <w:rsid w:val="003F45A9"/>
    <w:rsid w:val="003F4D25"/>
    <w:rsid w:val="003F5622"/>
    <w:rsid w:val="003F5D71"/>
    <w:rsid w:val="003F5FF9"/>
    <w:rsid w:val="003F6909"/>
    <w:rsid w:val="003F6EB8"/>
    <w:rsid w:val="003F7730"/>
    <w:rsid w:val="003F779C"/>
    <w:rsid w:val="00400437"/>
    <w:rsid w:val="004008B2"/>
    <w:rsid w:val="004008DD"/>
    <w:rsid w:val="00400E05"/>
    <w:rsid w:val="00401BBC"/>
    <w:rsid w:val="004023B9"/>
    <w:rsid w:val="00402540"/>
    <w:rsid w:val="00402772"/>
    <w:rsid w:val="00402BD1"/>
    <w:rsid w:val="00402DD3"/>
    <w:rsid w:val="004030D3"/>
    <w:rsid w:val="004034E5"/>
    <w:rsid w:val="00403BF1"/>
    <w:rsid w:val="00403BF4"/>
    <w:rsid w:val="00404619"/>
    <w:rsid w:val="004046C6"/>
    <w:rsid w:val="00404BD2"/>
    <w:rsid w:val="00405F95"/>
    <w:rsid w:val="00406006"/>
    <w:rsid w:val="0040694A"/>
    <w:rsid w:val="00407151"/>
    <w:rsid w:val="00407391"/>
    <w:rsid w:val="00407755"/>
    <w:rsid w:val="00410F53"/>
    <w:rsid w:val="00411F87"/>
    <w:rsid w:val="00412024"/>
    <w:rsid w:val="0041357F"/>
    <w:rsid w:val="00414AC3"/>
    <w:rsid w:val="00415B6F"/>
    <w:rsid w:val="00415F48"/>
    <w:rsid w:val="004162F9"/>
    <w:rsid w:val="00416997"/>
    <w:rsid w:val="00416DD8"/>
    <w:rsid w:val="00417298"/>
    <w:rsid w:val="00417E88"/>
    <w:rsid w:val="00420CAE"/>
    <w:rsid w:val="00420F0F"/>
    <w:rsid w:val="00421416"/>
    <w:rsid w:val="00421F93"/>
    <w:rsid w:val="00422110"/>
    <w:rsid w:val="00422700"/>
    <w:rsid w:val="0042278A"/>
    <w:rsid w:val="00422BDE"/>
    <w:rsid w:val="00422DF8"/>
    <w:rsid w:val="00423116"/>
    <w:rsid w:val="004231C3"/>
    <w:rsid w:val="00423715"/>
    <w:rsid w:val="00423C0D"/>
    <w:rsid w:val="00424145"/>
    <w:rsid w:val="00424179"/>
    <w:rsid w:val="004253DE"/>
    <w:rsid w:val="004260E2"/>
    <w:rsid w:val="0042631F"/>
    <w:rsid w:val="00427212"/>
    <w:rsid w:val="00427331"/>
    <w:rsid w:val="004306F2"/>
    <w:rsid w:val="004307E0"/>
    <w:rsid w:val="00430820"/>
    <w:rsid w:val="004327A1"/>
    <w:rsid w:val="0043362D"/>
    <w:rsid w:val="00433FAA"/>
    <w:rsid w:val="004344E6"/>
    <w:rsid w:val="004353C9"/>
    <w:rsid w:val="00435511"/>
    <w:rsid w:val="00435F45"/>
    <w:rsid w:val="00436B9C"/>
    <w:rsid w:val="00437FD8"/>
    <w:rsid w:val="00440436"/>
    <w:rsid w:val="0044063C"/>
    <w:rsid w:val="00440864"/>
    <w:rsid w:val="004411FC"/>
    <w:rsid w:val="004423D0"/>
    <w:rsid w:val="0044277C"/>
    <w:rsid w:val="00442849"/>
    <w:rsid w:val="00442A4A"/>
    <w:rsid w:val="0044368F"/>
    <w:rsid w:val="004437DA"/>
    <w:rsid w:val="00443997"/>
    <w:rsid w:val="004440CC"/>
    <w:rsid w:val="0044414E"/>
    <w:rsid w:val="00444337"/>
    <w:rsid w:val="00444C9A"/>
    <w:rsid w:val="0044534B"/>
    <w:rsid w:val="0044573C"/>
    <w:rsid w:val="00445ACA"/>
    <w:rsid w:val="0045066F"/>
    <w:rsid w:val="00450B14"/>
    <w:rsid w:val="00450EC3"/>
    <w:rsid w:val="004511B7"/>
    <w:rsid w:val="0045133B"/>
    <w:rsid w:val="00451979"/>
    <w:rsid w:val="00452310"/>
    <w:rsid w:val="004528B9"/>
    <w:rsid w:val="00452A66"/>
    <w:rsid w:val="00453645"/>
    <w:rsid w:val="004544EA"/>
    <w:rsid w:val="00454C8D"/>
    <w:rsid w:val="00455E30"/>
    <w:rsid w:val="00456C59"/>
    <w:rsid w:val="004570B0"/>
    <w:rsid w:val="00457C9E"/>
    <w:rsid w:val="00461251"/>
    <w:rsid w:val="004613BA"/>
    <w:rsid w:val="00461730"/>
    <w:rsid w:val="004618A0"/>
    <w:rsid w:val="00461DEC"/>
    <w:rsid w:val="00461E84"/>
    <w:rsid w:val="00462801"/>
    <w:rsid w:val="004649B8"/>
    <w:rsid w:val="00464B6D"/>
    <w:rsid w:val="00465099"/>
    <w:rsid w:val="00465EA0"/>
    <w:rsid w:val="00466044"/>
    <w:rsid w:val="004660FA"/>
    <w:rsid w:val="0046745A"/>
    <w:rsid w:val="00467B75"/>
    <w:rsid w:val="0047008A"/>
    <w:rsid w:val="00470795"/>
    <w:rsid w:val="0047163B"/>
    <w:rsid w:val="00472763"/>
    <w:rsid w:val="00472AB0"/>
    <w:rsid w:val="00472B31"/>
    <w:rsid w:val="00472E14"/>
    <w:rsid w:val="004730EE"/>
    <w:rsid w:val="00474A05"/>
    <w:rsid w:val="00474FCA"/>
    <w:rsid w:val="004751F5"/>
    <w:rsid w:val="004754FA"/>
    <w:rsid w:val="0047552A"/>
    <w:rsid w:val="00476062"/>
    <w:rsid w:val="004766F5"/>
    <w:rsid w:val="00477A4A"/>
    <w:rsid w:val="00477AF3"/>
    <w:rsid w:val="00480230"/>
    <w:rsid w:val="00480381"/>
    <w:rsid w:val="00480565"/>
    <w:rsid w:val="004809B5"/>
    <w:rsid w:val="00480A52"/>
    <w:rsid w:val="00480EA1"/>
    <w:rsid w:val="00480FA0"/>
    <w:rsid w:val="0048138D"/>
    <w:rsid w:val="0048146E"/>
    <w:rsid w:val="004820ED"/>
    <w:rsid w:val="0048349B"/>
    <w:rsid w:val="0048446E"/>
    <w:rsid w:val="00484726"/>
    <w:rsid w:val="0048491C"/>
    <w:rsid w:val="00484A09"/>
    <w:rsid w:val="00484B6F"/>
    <w:rsid w:val="00484F62"/>
    <w:rsid w:val="004851F6"/>
    <w:rsid w:val="0048521C"/>
    <w:rsid w:val="00485DE1"/>
    <w:rsid w:val="00485F8A"/>
    <w:rsid w:val="00486B91"/>
    <w:rsid w:val="004903B0"/>
    <w:rsid w:val="00491853"/>
    <w:rsid w:val="004921F6"/>
    <w:rsid w:val="00494344"/>
    <w:rsid w:val="00494F30"/>
    <w:rsid w:val="00497233"/>
    <w:rsid w:val="004974F5"/>
    <w:rsid w:val="00497B86"/>
    <w:rsid w:val="00497F9B"/>
    <w:rsid w:val="004A027E"/>
    <w:rsid w:val="004A0691"/>
    <w:rsid w:val="004A0B9F"/>
    <w:rsid w:val="004A1167"/>
    <w:rsid w:val="004A1398"/>
    <w:rsid w:val="004A17FE"/>
    <w:rsid w:val="004A181C"/>
    <w:rsid w:val="004A184D"/>
    <w:rsid w:val="004A197F"/>
    <w:rsid w:val="004A2187"/>
    <w:rsid w:val="004A22EB"/>
    <w:rsid w:val="004A250E"/>
    <w:rsid w:val="004A2860"/>
    <w:rsid w:val="004A37F4"/>
    <w:rsid w:val="004A3A1E"/>
    <w:rsid w:val="004A3B32"/>
    <w:rsid w:val="004A3CEB"/>
    <w:rsid w:val="004A42C8"/>
    <w:rsid w:val="004A431F"/>
    <w:rsid w:val="004A4BBE"/>
    <w:rsid w:val="004A5051"/>
    <w:rsid w:val="004A5182"/>
    <w:rsid w:val="004A5AAA"/>
    <w:rsid w:val="004A74DB"/>
    <w:rsid w:val="004B0AA9"/>
    <w:rsid w:val="004B0B1D"/>
    <w:rsid w:val="004B0BA8"/>
    <w:rsid w:val="004B0CDC"/>
    <w:rsid w:val="004B0E9E"/>
    <w:rsid w:val="004B1307"/>
    <w:rsid w:val="004B1376"/>
    <w:rsid w:val="004B20B0"/>
    <w:rsid w:val="004B219F"/>
    <w:rsid w:val="004B3209"/>
    <w:rsid w:val="004B336F"/>
    <w:rsid w:val="004B394C"/>
    <w:rsid w:val="004B3CD2"/>
    <w:rsid w:val="004B45ED"/>
    <w:rsid w:val="004B5935"/>
    <w:rsid w:val="004B683C"/>
    <w:rsid w:val="004B6961"/>
    <w:rsid w:val="004B7C67"/>
    <w:rsid w:val="004C05B0"/>
    <w:rsid w:val="004C10FD"/>
    <w:rsid w:val="004C196E"/>
    <w:rsid w:val="004C1B97"/>
    <w:rsid w:val="004C2D8D"/>
    <w:rsid w:val="004C37D1"/>
    <w:rsid w:val="004C41A2"/>
    <w:rsid w:val="004C477D"/>
    <w:rsid w:val="004C5CB7"/>
    <w:rsid w:val="004C6D6C"/>
    <w:rsid w:val="004C746F"/>
    <w:rsid w:val="004C7626"/>
    <w:rsid w:val="004D0921"/>
    <w:rsid w:val="004D1013"/>
    <w:rsid w:val="004D1447"/>
    <w:rsid w:val="004D2237"/>
    <w:rsid w:val="004D24A1"/>
    <w:rsid w:val="004D2956"/>
    <w:rsid w:val="004D31FD"/>
    <w:rsid w:val="004D3F53"/>
    <w:rsid w:val="004D443C"/>
    <w:rsid w:val="004D6D44"/>
    <w:rsid w:val="004D6F41"/>
    <w:rsid w:val="004E0BEF"/>
    <w:rsid w:val="004E18B5"/>
    <w:rsid w:val="004E2312"/>
    <w:rsid w:val="004E2601"/>
    <w:rsid w:val="004E28E9"/>
    <w:rsid w:val="004E2A87"/>
    <w:rsid w:val="004E370B"/>
    <w:rsid w:val="004E406B"/>
    <w:rsid w:val="004E445D"/>
    <w:rsid w:val="004E65CA"/>
    <w:rsid w:val="004E6805"/>
    <w:rsid w:val="004E6FF5"/>
    <w:rsid w:val="004E78DF"/>
    <w:rsid w:val="004F09CE"/>
    <w:rsid w:val="004F1EA5"/>
    <w:rsid w:val="004F22FC"/>
    <w:rsid w:val="004F2C20"/>
    <w:rsid w:val="004F3310"/>
    <w:rsid w:val="004F353E"/>
    <w:rsid w:val="004F357E"/>
    <w:rsid w:val="004F380C"/>
    <w:rsid w:val="004F4321"/>
    <w:rsid w:val="004F5A47"/>
    <w:rsid w:val="004F5D77"/>
    <w:rsid w:val="004F6176"/>
    <w:rsid w:val="004F61AF"/>
    <w:rsid w:val="004F74B9"/>
    <w:rsid w:val="004F74E6"/>
    <w:rsid w:val="004F7871"/>
    <w:rsid w:val="004F7A78"/>
    <w:rsid w:val="0050001D"/>
    <w:rsid w:val="00500020"/>
    <w:rsid w:val="0050074C"/>
    <w:rsid w:val="00501283"/>
    <w:rsid w:val="00501AE0"/>
    <w:rsid w:val="00502504"/>
    <w:rsid w:val="00502997"/>
    <w:rsid w:val="00503015"/>
    <w:rsid w:val="0050455A"/>
    <w:rsid w:val="00504D43"/>
    <w:rsid w:val="00505619"/>
    <w:rsid w:val="00505F4F"/>
    <w:rsid w:val="00505FDB"/>
    <w:rsid w:val="005070F5"/>
    <w:rsid w:val="00507467"/>
    <w:rsid w:val="005074C9"/>
    <w:rsid w:val="00510DDC"/>
    <w:rsid w:val="00513399"/>
    <w:rsid w:val="005134AB"/>
    <w:rsid w:val="005136A8"/>
    <w:rsid w:val="00513A78"/>
    <w:rsid w:val="00513C58"/>
    <w:rsid w:val="0051458F"/>
    <w:rsid w:val="00514F2D"/>
    <w:rsid w:val="00515696"/>
    <w:rsid w:val="005162FC"/>
    <w:rsid w:val="00516A5A"/>
    <w:rsid w:val="00516DA0"/>
    <w:rsid w:val="005179F0"/>
    <w:rsid w:val="00517BFA"/>
    <w:rsid w:val="00517DD5"/>
    <w:rsid w:val="00520A98"/>
    <w:rsid w:val="00520F58"/>
    <w:rsid w:val="00520F5C"/>
    <w:rsid w:val="00521014"/>
    <w:rsid w:val="0052123E"/>
    <w:rsid w:val="00521B6E"/>
    <w:rsid w:val="005236C9"/>
    <w:rsid w:val="00523FCC"/>
    <w:rsid w:val="00524942"/>
    <w:rsid w:val="005250BC"/>
    <w:rsid w:val="00525FF2"/>
    <w:rsid w:val="0052645D"/>
    <w:rsid w:val="005266DC"/>
    <w:rsid w:val="00526709"/>
    <w:rsid w:val="00527B85"/>
    <w:rsid w:val="00527D11"/>
    <w:rsid w:val="005300B1"/>
    <w:rsid w:val="005303A5"/>
    <w:rsid w:val="005303C8"/>
    <w:rsid w:val="005304F4"/>
    <w:rsid w:val="005314C7"/>
    <w:rsid w:val="005319E3"/>
    <w:rsid w:val="005345D6"/>
    <w:rsid w:val="00534C92"/>
    <w:rsid w:val="00535C81"/>
    <w:rsid w:val="00535E7F"/>
    <w:rsid w:val="00536C58"/>
    <w:rsid w:val="00536E3D"/>
    <w:rsid w:val="00537335"/>
    <w:rsid w:val="00537681"/>
    <w:rsid w:val="00540795"/>
    <w:rsid w:val="00541197"/>
    <w:rsid w:val="005416CC"/>
    <w:rsid w:val="0054189F"/>
    <w:rsid w:val="00541A65"/>
    <w:rsid w:val="0054243A"/>
    <w:rsid w:val="005429E6"/>
    <w:rsid w:val="00542CEB"/>
    <w:rsid w:val="005432C8"/>
    <w:rsid w:val="0054396F"/>
    <w:rsid w:val="00543D5F"/>
    <w:rsid w:val="0054459A"/>
    <w:rsid w:val="00544863"/>
    <w:rsid w:val="00545C3D"/>
    <w:rsid w:val="00545CD9"/>
    <w:rsid w:val="0054643A"/>
    <w:rsid w:val="00546709"/>
    <w:rsid w:val="00547125"/>
    <w:rsid w:val="005473A2"/>
    <w:rsid w:val="0054781A"/>
    <w:rsid w:val="00547A95"/>
    <w:rsid w:val="00547C14"/>
    <w:rsid w:val="00550470"/>
    <w:rsid w:val="00550712"/>
    <w:rsid w:val="00550A59"/>
    <w:rsid w:val="00552EAC"/>
    <w:rsid w:val="0055359E"/>
    <w:rsid w:val="00553BB3"/>
    <w:rsid w:val="005540BF"/>
    <w:rsid w:val="005546EE"/>
    <w:rsid w:val="00554784"/>
    <w:rsid w:val="00554983"/>
    <w:rsid w:val="00554FF5"/>
    <w:rsid w:val="0055528F"/>
    <w:rsid w:val="0055563F"/>
    <w:rsid w:val="0055614C"/>
    <w:rsid w:val="00557869"/>
    <w:rsid w:val="00557CB3"/>
    <w:rsid w:val="00557D33"/>
    <w:rsid w:val="00557EE4"/>
    <w:rsid w:val="00560099"/>
    <w:rsid w:val="00560E3C"/>
    <w:rsid w:val="0056105E"/>
    <w:rsid w:val="0056111E"/>
    <w:rsid w:val="005637BE"/>
    <w:rsid w:val="0056385E"/>
    <w:rsid w:val="00563A71"/>
    <w:rsid w:val="00563CF9"/>
    <w:rsid w:val="00564136"/>
    <w:rsid w:val="005647C3"/>
    <w:rsid w:val="00564888"/>
    <w:rsid w:val="00564F00"/>
    <w:rsid w:val="005658F0"/>
    <w:rsid w:val="00565A4B"/>
    <w:rsid w:val="00565B5F"/>
    <w:rsid w:val="00565C4F"/>
    <w:rsid w:val="00565CE7"/>
    <w:rsid w:val="00567913"/>
    <w:rsid w:val="00567BD9"/>
    <w:rsid w:val="00570680"/>
    <w:rsid w:val="00570893"/>
    <w:rsid w:val="005710CA"/>
    <w:rsid w:val="00571279"/>
    <w:rsid w:val="005717CD"/>
    <w:rsid w:val="00571C0B"/>
    <w:rsid w:val="00571ED5"/>
    <w:rsid w:val="00572139"/>
    <w:rsid w:val="0057220E"/>
    <w:rsid w:val="005722B8"/>
    <w:rsid w:val="005723C1"/>
    <w:rsid w:val="005723E7"/>
    <w:rsid w:val="005726E1"/>
    <w:rsid w:val="00572F0B"/>
    <w:rsid w:val="005732E6"/>
    <w:rsid w:val="00573666"/>
    <w:rsid w:val="00573D7A"/>
    <w:rsid w:val="00574294"/>
    <w:rsid w:val="0057438E"/>
    <w:rsid w:val="00574748"/>
    <w:rsid w:val="00575339"/>
    <w:rsid w:val="00575408"/>
    <w:rsid w:val="00575FD3"/>
    <w:rsid w:val="00576322"/>
    <w:rsid w:val="005765E9"/>
    <w:rsid w:val="005767AF"/>
    <w:rsid w:val="00576EF3"/>
    <w:rsid w:val="00577352"/>
    <w:rsid w:val="00577481"/>
    <w:rsid w:val="00577BD8"/>
    <w:rsid w:val="00580071"/>
    <w:rsid w:val="00580534"/>
    <w:rsid w:val="00580578"/>
    <w:rsid w:val="005814D7"/>
    <w:rsid w:val="005817F0"/>
    <w:rsid w:val="005836ED"/>
    <w:rsid w:val="00583A3C"/>
    <w:rsid w:val="00583CC2"/>
    <w:rsid w:val="00583D4D"/>
    <w:rsid w:val="00584145"/>
    <w:rsid w:val="00584288"/>
    <w:rsid w:val="00584331"/>
    <w:rsid w:val="005847B1"/>
    <w:rsid w:val="005854ED"/>
    <w:rsid w:val="00586707"/>
    <w:rsid w:val="00586EFE"/>
    <w:rsid w:val="00587BA7"/>
    <w:rsid w:val="00590C25"/>
    <w:rsid w:val="005911F1"/>
    <w:rsid w:val="00591495"/>
    <w:rsid w:val="00591D79"/>
    <w:rsid w:val="00592292"/>
    <w:rsid w:val="00592595"/>
    <w:rsid w:val="0059310A"/>
    <w:rsid w:val="00593858"/>
    <w:rsid w:val="00593A2A"/>
    <w:rsid w:val="005944E1"/>
    <w:rsid w:val="00594691"/>
    <w:rsid w:val="00594BC2"/>
    <w:rsid w:val="00594D19"/>
    <w:rsid w:val="00595418"/>
    <w:rsid w:val="00595449"/>
    <w:rsid w:val="00595842"/>
    <w:rsid w:val="00595E5C"/>
    <w:rsid w:val="0059635F"/>
    <w:rsid w:val="0059647B"/>
    <w:rsid w:val="00596615"/>
    <w:rsid w:val="00596CA7"/>
    <w:rsid w:val="0059781A"/>
    <w:rsid w:val="0059785F"/>
    <w:rsid w:val="005A0BE3"/>
    <w:rsid w:val="005A1020"/>
    <w:rsid w:val="005A10D3"/>
    <w:rsid w:val="005A1625"/>
    <w:rsid w:val="005A1FAD"/>
    <w:rsid w:val="005A21A7"/>
    <w:rsid w:val="005A22FD"/>
    <w:rsid w:val="005A241E"/>
    <w:rsid w:val="005A2466"/>
    <w:rsid w:val="005A32DC"/>
    <w:rsid w:val="005A5534"/>
    <w:rsid w:val="005A59A2"/>
    <w:rsid w:val="005A5C55"/>
    <w:rsid w:val="005A68C0"/>
    <w:rsid w:val="005A6D38"/>
    <w:rsid w:val="005A6E21"/>
    <w:rsid w:val="005A7EFA"/>
    <w:rsid w:val="005B0761"/>
    <w:rsid w:val="005B0BE1"/>
    <w:rsid w:val="005B0D76"/>
    <w:rsid w:val="005B0FEA"/>
    <w:rsid w:val="005B13D5"/>
    <w:rsid w:val="005B1D86"/>
    <w:rsid w:val="005B2E2A"/>
    <w:rsid w:val="005B2E3B"/>
    <w:rsid w:val="005B2F0C"/>
    <w:rsid w:val="005B3BB5"/>
    <w:rsid w:val="005B5797"/>
    <w:rsid w:val="005B5BF4"/>
    <w:rsid w:val="005B674C"/>
    <w:rsid w:val="005B6D53"/>
    <w:rsid w:val="005B6E4E"/>
    <w:rsid w:val="005B6F6B"/>
    <w:rsid w:val="005B6FCD"/>
    <w:rsid w:val="005B7732"/>
    <w:rsid w:val="005C0729"/>
    <w:rsid w:val="005C0A50"/>
    <w:rsid w:val="005C0FDC"/>
    <w:rsid w:val="005C1724"/>
    <w:rsid w:val="005C2BC4"/>
    <w:rsid w:val="005C2C3C"/>
    <w:rsid w:val="005C2D20"/>
    <w:rsid w:val="005C2FDC"/>
    <w:rsid w:val="005C30D0"/>
    <w:rsid w:val="005C39ED"/>
    <w:rsid w:val="005C3A86"/>
    <w:rsid w:val="005C3AF7"/>
    <w:rsid w:val="005C459B"/>
    <w:rsid w:val="005C5342"/>
    <w:rsid w:val="005C66B7"/>
    <w:rsid w:val="005C6A35"/>
    <w:rsid w:val="005D01D2"/>
    <w:rsid w:val="005D0DA3"/>
    <w:rsid w:val="005D1EC0"/>
    <w:rsid w:val="005D2637"/>
    <w:rsid w:val="005D2DC7"/>
    <w:rsid w:val="005D3067"/>
    <w:rsid w:val="005D30E1"/>
    <w:rsid w:val="005D34C3"/>
    <w:rsid w:val="005D3CC9"/>
    <w:rsid w:val="005D453B"/>
    <w:rsid w:val="005D4A3B"/>
    <w:rsid w:val="005D4C6D"/>
    <w:rsid w:val="005D581E"/>
    <w:rsid w:val="005D620D"/>
    <w:rsid w:val="005D65EF"/>
    <w:rsid w:val="005D6708"/>
    <w:rsid w:val="005D71AA"/>
    <w:rsid w:val="005D7997"/>
    <w:rsid w:val="005D7A3A"/>
    <w:rsid w:val="005D7DAA"/>
    <w:rsid w:val="005E09B6"/>
    <w:rsid w:val="005E2191"/>
    <w:rsid w:val="005E2A81"/>
    <w:rsid w:val="005E308E"/>
    <w:rsid w:val="005E33D8"/>
    <w:rsid w:val="005E3A71"/>
    <w:rsid w:val="005E3C53"/>
    <w:rsid w:val="005E4203"/>
    <w:rsid w:val="005E4EB4"/>
    <w:rsid w:val="005E510E"/>
    <w:rsid w:val="005E5483"/>
    <w:rsid w:val="005E6298"/>
    <w:rsid w:val="005E66CB"/>
    <w:rsid w:val="005E722C"/>
    <w:rsid w:val="005E7BDB"/>
    <w:rsid w:val="005F1982"/>
    <w:rsid w:val="005F1AE6"/>
    <w:rsid w:val="005F2255"/>
    <w:rsid w:val="005F25DD"/>
    <w:rsid w:val="005F26BE"/>
    <w:rsid w:val="005F2977"/>
    <w:rsid w:val="005F29F3"/>
    <w:rsid w:val="005F316A"/>
    <w:rsid w:val="005F449F"/>
    <w:rsid w:val="005F6DF5"/>
    <w:rsid w:val="005F70EC"/>
    <w:rsid w:val="005F7674"/>
    <w:rsid w:val="005F7C79"/>
    <w:rsid w:val="005F7D85"/>
    <w:rsid w:val="006001B0"/>
    <w:rsid w:val="00600586"/>
    <w:rsid w:val="00600B6C"/>
    <w:rsid w:val="00600C5B"/>
    <w:rsid w:val="00600E06"/>
    <w:rsid w:val="00600E26"/>
    <w:rsid w:val="00601595"/>
    <w:rsid w:val="006015A4"/>
    <w:rsid w:val="00601793"/>
    <w:rsid w:val="00601868"/>
    <w:rsid w:val="006021F0"/>
    <w:rsid w:val="00602D3F"/>
    <w:rsid w:val="00602E2F"/>
    <w:rsid w:val="006033B2"/>
    <w:rsid w:val="00603498"/>
    <w:rsid w:val="00603B74"/>
    <w:rsid w:val="00603C50"/>
    <w:rsid w:val="00603CE9"/>
    <w:rsid w:val="00604034"/>
    <w:rsid w:val="00605EDE"/>
    <w:rsid w:val="006071F6"/>
    <w:rsid w:val="006072EA"/>
    <w:rsid w:val="0060740C"/>
    <w:rsid w:val="0060747E"/>
    <w:rsid w:val="006104A8"/>
    <w:rsid w:val="00610754"/>
    <w:rsid w:val="00610765"/>
    <w:rsid w:val="006112A5"/>
    <w:rsid w:val="00611C23"/>
    <w:rsid w:val="0061212D"/>
    <w:rsid w:val="006123AE"/>
    <w:rsid w:val="00612478"/>
    <w:rsid w:val="00612776"/>
    <w:rsid w:val="00612AB4"/>
    <w:rsid w:val="00614960"/>
    <w:rsid w:val="00614C38"/>
    <w:rsid w:val="006165B8"/>
    <w:rsid w:val="006166A1"/>
    <w:rsid w:val="00617E09"/>
    <w:rsid w:val="00620642"/>
    <w:rsid w:val="00620FF3"/>
    <w:rsid w:val="0062115C"/>
    <w:rsid w:val="00621DB4"/>
    <w:rsid w:val="00622572"/>
    <w:rsid w:val="00622BCC"/>
    <w:rsid w:val="00622D45"/>
    <w:rsid w:val="00623D94"/>
    <w:rsid w:val="00624158"/>
    <w:rsid w:val="00625997"/>
    <w:rsid w:val="00626E49"/>
    <w:rsid w:val="0062772E"/>
    <w:rsid w:val="006303B7"/>
    <w:rsid w:val="00630510"/>
    <w:rsid w:val="006306C4"/>
    <w:rsid w:val="00630F05"/>
    <w:rsid w:val="00630F51"/>
    <w:rsid w:val="00631935"/>
    <w:rsid w:val="00631945"/>
    <w:rsid w:val="006326E9"/>
    <w:rsid w:val="00632C1B"/>
    <w:rsid w:val="00632C63"/>
    <w:rsid w:val="006336C5"/>
    <w:rsid w:val="006337D4"/>
    <w:rsid w:val="006339FA"/>
    <w:rsid w:val="00633A47"/>
    <w:rsid w:val="00633EA5"/>
    <w:rsid w:val="00633FC1"/>
    <w:rsid w:val="006340CD"/>
    <w:rsid w:val="00634204"/>
    <w:rsid w:val="006347B0"/>
    <w:rsid w:val="006347D4"/>
    <w:rsid w:val="00634FE8"/>
    <w:rsid w:val="00635F1E"/>
    <w:rsid w:val="00636233"/>
    <w:rsid w:val="006378CC"/>
    <w:rsid w:val="00637BF5"/>
    <w:rsid w:val="00642897"/>
    <w:rsid w:val="00642AA4"/>
    <w:rsid w:val="00642B50"/>
    <w:rsid w:val="00643083"/>
    <w:rsid w:val="0064364A"/>
    <w:rsid w:val="006436CD"/>
    <w:rsid w:val="00643910"/>
    <w:rsid w:val="00643F4E"/>
    <w:rsid w:val="006457CC"/>
    <w:rsid w:val="00645DE9"/>
    <w:rsid w:val="00646742"/>
    <w:rsid w:val="00646763"/>
    <w:rsid w:val="00647742"/>
    <w:rsid w:val="006508B6"/>
    <w:rsid w:val="00651247"/>
    <w:rsid w:val="00651297"/>
    <w:rsid w:val="00651F16"/>
    <w:rsid w:val="00652AC3"/>
    <w:rsid w:val="00653130"/>
    <w:rsid w:val="006536C1"/>
    <w:rsid w:val="00653A65"/>
    <w:rsid w:val="00654CB0"/>
    <w:rsid w:val="00655872"/>
    <w:rsid w:val="00655EB2"/>
    <w:rsid w:val="006561C8"/>
    <w:rsid w:val="00656213"/>
    <w:rsid w:val="00656864"/>
    <w:rsid w:val="00657388"/>
    <w:rsid w:val="00657671"/>
    <w:rsid w:val="006576CD"/>
    <w:rsid w:val="00657B22"/>
    <w:rsid w:val="00657D87"/>
    <w:rsid w:val="00657F22"/>
    <w:rsid w:val="00660927"/>
    <w:rsid w:val="00660A34"/>
    <w:rsid w:val="00660EBA"/>
    <w:rsid w:val="00661AAF"/>
    <w:rsid w:val="00661CC3"/>
    <w:rsid w:val="00661E1E"/>
    <w:rsid w:val="00662144"/>
    <w:rsid w:val="00663643"/>
    <w:rsid w:val="006646BA"/>
    <w:rsid w:val="00664F7F"/>
    <w:rsid w:val="006655A4"/>
    <w:rsid w:val="00666C61"/>
    <w:rsid w:val="00666E4F"/>
    <w:rsid w:val="0066798A"/>
    <w:rsid w:val="0066799C"/>
    <w:rsid w:val="00667ED7"/>
    <w:rsid w:val="00670544"/>
    <w:rsid w:val="0067056F"/>
    <w:rsid w:val="00670AA6"/>
    <w:rsid w:val="006711A5"/>
    <w:rsid w:val="006711E5"/>
    <w:rsid w:val="006714F8"/>
    <w:rsid w:val="0067178C"/>
    <w:rsid w:val="00672263"/>
    <w:rsid w:val="00672593"/>
    <w:rsid w:val="006727C1"/>
    <w:rsid w:val="00672DDD"/>
    <w:rsid w:val="006731E5"/>
    <w:rsid w:val="00673864"/>
    <w:rsid w:val="006739FC"/>
    <w:rsid w:val="00674A96"/>
    <w:rsid w:val="00674E21"/>
    <w:rsid w:val="00675AC7"/>
    <w:rsid w:val="00676489"/>
    <w:rsid w:val="00676669"/>
    <w:rsid w:val="006767AE"/>
    <w:rsid w:val="00676C7D"/>
    <w:rsid w:val="00677A47"/>
    <w:rsid w:val="00677B23"/>
    <w:rsid w:val="00680466"/>
    <w:rsid w:val="00680538"/>
    <w:rsid w:val="0068067E"/>
    <w:rsid w:val="006816F1"/>
    <w:rsid w:val="00682DB5"/>
    <w:rsid w:val="00683098"/>
    <w:rsid w:val="00683DB0"/>
    <w:rsid w:val="00684067"/>
    <w:rsid w:val="0068413B"/>
    <w:rsid w:val="00684247"/>
    <w:rsid w:val="00684BAA"/>
    <w:rsid w:val="006853A4"/>
    <w:rsid w:val="00687707"/>
    <w:rsid w:val="00690327"/>
    <w:rsid w:val="00690B82"/>
    <w:rsid w:val="0069156A"/>
    <w:rsid w:val="00691A6D"/>
    <w:rsid w:val="006926DF"/>
    <w:rsid w:val="00692BEE"/>
    <w:rsid w:val="006937C7"/>
    <w:rsid w:val="00693BA6"/>
    <w:rsid w:val="00694973"/>
    <w:rsid w:val="00695601"/>
    <w:rsid w:val="006956C8"/>
    <w:rsid w:val="00695710"/>
    <w:rsid w:val="006958CA"/>
    <w:rsid w:val="00695A3C"/>
    <w:rsid w:val="0069687C"/>
    <w:rsid w:val="006978CB"/>
    <w:rsid w:val="00697A24"/>
    <w:rsid w:val="00697E0A"/>
    <w:rsid w:val="006A002B"/>
    <w:rsid w:val="006A11CE"/>
    <w:rsid w:val="006A1900"/>
    <w:rsid w:val="006A19FE"/>
    <w:rsid w:val="006A1B3A"/>
    <w:rsid w:val="006A2166"/>
    <w:rsid w:val="006A2639"/>
    <w:rsid w:val="006A272F"/>
    <w:rsid w:val="006A282A"/>
    <w:rsid w:val="006A2C9A"/>
    <w:rsid w:val="006A3070"/>
    <w:rsid w:val="006A34DF"/>
    <w:rsid w:val="006A34EC"/>
    <w:rsid w:val="006A35DD"/>
    <w:rsid w:val="006A3A5C"/>
    <w:rsid w:val="006A3CB2"/>
    <w:rsid w:val="006A456B"/>
    <w:rsid w:val="006A5B0E"/>
    <w:rsid w:val="006A5D63"/>
    <w:rsid w:val="006A61DC"/>
    <w:rsid w:val="006A65EA"/>
    <w:rsid w:val="006A6F62"/>
    <w:rsid w:val="006A7A07"/>
    <w:rsid w:val="006B0341"/>
    <w:rsid w:val="006B0A74"/>
    <w:rsid w:val="006B0F9D"/>
    <w:rsid w:val="006B12A1"/>
    <w:rsid w:val="006B1ADA"/>
    <w:rsid w:val="006B1B74"/>
    <w:rsid w:val="006B1C0E"/>
    <w:rsid w:val="006B1F4B"/>
    <w:rsid w:val="006B2121"/>
    <w:rsid w:val="006B27A8"/>
    <w:rsid w:val="006B28D1"/>
    <w:rsid w:val="006B4ABB"/>
    <w:rsid w:val="006B4AFF"/>
    <w:rsid w:val="006B4F5D"/>
    <w:rsid w:val="006B55EC"/>
    <w:rsid w:val="006B6894"/>
    <w:rsid w:val="006B6F26"/>
    <w:rsid w:val="006B744F"/>
    <w:rsid w:val="006B748F"/>
    <w:rsid w:val="006B78DA"/>
    <w:rsid w:val="006C0DA3"/>
    <w:rsid w:val="006C1AD8"/>
    <w:rsid w:val="006C23B5"/>
    <w:rsid w:val="006C27CF"/>
    <w:rsid w:val="006C29CB"/>
    <w:rsid w:val="006C40B2"/>
    <w:rsid w:val="006C40E2"/>
    <w:rsid w:val="006C4EE0"/>
    <w:rsid w:val="006C5AB5"/>
    <w:rsid w:val="006C61B6"/>
    <w:rsid w:val="006C6488"/>
    <w:rsid w:val="006C6E65"/>
    <w:rsid w:val="006C7473"/>
    <w:rsid w:val="006C75D6"/>
    <w:rsid w:val="006C76AA"/>
    <w:rsid w:val="006D01C9"/>
    <w:rsid w:val="006D076F"/>
    <w:rsid w:val="006D09CF"/>
    <w:rsid w:val="006D12BC"/>
    <w:rsid w:val="006D131A"/>
    <w:rsid w:val="006D1DCC"/>
    <w:rsid w:val="006D20F5"/>
    <w:rsid w:val="006D51A0"/>
    <w:rsid w:val="006D5248"/>
    <w:rsid w:val="006D6220"/>
    <w:rsid w:val="006D6C74"/>
    <w:rsid w:val="006D71E4"/>
    <w:rsid w:val="006E00AD"/>
    <w:rsid w:val="006E04EF"/>
    <w:rsid w:val="006E1665"/>
    <w:rsid w:val="006E208E"/>
    <w:rsid w:val="006E24C3"/>
    <w:rsid w:val="006E2956"/>
    <w:rsid w:val="006E4C7E"/>
    <w:rsid w:val="006E50A7"/>
    <w:rsid w:val="006E5C7B"/>
    <w:rsid w:val="006E65F1"/>
    <w:rsid w:val="006E6E2A"/>
    <w:rsid w:val="006E71B8"/>
    <w:rsid w:val="006E7D5A"/>
    <w:rsid w:val="006E7F3E"/>
    <w:rsid w:val="006E7F79"/>
    <w:rsid w:val="006F070C"/>
    <w:rsid w:val="006F1031"/>
    <w:rsid w:val="006F138F"/>
    <w:rsid w:val="006F149A"/>
    <w:rsid w:val="006F1977"/>
    <w:rsid w:val="006F1980"/>
    <w:rsid w:val="006F1BE5"/>
    <w:rsid w:val="006F275F"/>
    <w:rsid w:val="006F2F46"/>
    <w:rsid w:val="006F320D"/>
    <w:rsid w:val="006F358E"/>
    <w:rsid w:val="006F36B4"/>
    <w:rsid w:val="006F4000"/>
    <w:rsid w:val="006F4D75"/>
    <w:rsid w:val="006F51A9"/>
    <w:rsid w:val="006F64DF"/>
    <w:rsid w:val="006F6838"/>
    <w:rsid w:val="006F6B22"/>
    <w:rsid w:val="006F6F2C"/>
    <w:rsid w:val="007006BE"/>
    <w:rsid w:val="00700756"/>
    <w:rsid w:val="007016EE"/>
    <w:rsid w:val="0070179D"/>
    <w:rsid w:val="00701D6F"/>
    <w:rsid w:val="00701F66"/>
    <w:rsid w:val="007026AE"/>
    <w:rsid w:val="00703128"/>
    <w:rsid w:val="00704BE4"/>
    <w:rsid w:val="00704EF5"/>
    <w:rsid w:val="00705060"/>
    <w:rsid w:val="00705261"/>
    <w:rsid w:val="00705946"/>
    <w:rsid w:val="007060E1"/>
    <w:rsid w:val="0070671E"/>
    <w:rsid w:val="00706938"/>
    <w:rsid w:val="00706975"/>
    <w:rsid w:val="00707155"/>
    <w:rsid w:val="00707237"/>
    <w:rsid w:val="007073B8"/>
    <w:rsid w:val="00710343"/>
    <w:rsid w:val="00710937"/>
    <w:rsid w:val="007118C8"/>
    <w:rsid w:val="00711C99"/>
    <w:rsid w:val="00711CC6"/>
    <w:rsid w:val="007120C6"/>
    <w:rsid w:val="007129AA"/>
    <w:rsid w:val="00712E49"/>
    <w:rsid w:val="0071349D"/>
    <w:rsid w:val="00714004"/>
    <w:rsid w:val="00715620"/>
    <w:rsid w:val="00715E6C"/>
    <w:rsid w:val="00715F83"/>
    <w:rsid w:val="00716C89"/>
    <w:rsid w:val="007173A8"/>
    <w:rsid w:val="00720162"/>
    <w:rsid w:val="00720415"/>
    <w:rsid w:val="007209DF"/>
    <w:rsid w:val="007213EE"/>
    <w:rsid w:val="007217BB"/>
    <w:rsid w:val="00721A27"/>
    <w:rsid w:val="00722414"/>
    <w:rsid w:val="007228B0"/>
    <w:rsid w:val="0072319E"/>
    <w:rsid w:val="00723253"/>
    <w:rsid w:val="007243F9"/>
    <w:rsid w:val="0072536B"/>
    <w:rsid w:val="00725616"/>
    <w:rsid w:val="00725E0C"/>
    <w:rsid w:val="007260A5"/>
    <w:rsid w:val="0072768B"/>
    <w:rsid w:val="007308B1"/>
    <w:rsid w:val="00730A54"/>
    <w:rsid w:val="00731599"/>
    <w:rsid w:val="00731A24"/>
    <w:rsid w:val="00732256"/>
    <w:rsid w:val="007322A9"/>
    <w:rsid w:val="007323EF"/>
    <w:rsid w:val="0073286C"/>
    <w:rsid w:val="00732ECA"/>
    <w:rsid w:val="00732F7C"/>
    <w:rsid w:val="00733A34"/>
    <w:rsid w:val="00733B46"/>
    <w:rsid w:val="00734048"/>
    <w:rsid w:val="007345CC"/>
    <w:rsid w:val="00736872"/>
    <w:rsid w:val="00740225"/>
    <w:rsid w:val="0074052C"/>
    <w:rsid w:val="007407CF"/>
    <w:rsid w:val="007407FD"/>
    <w:rsid w:val="00740F7D"/>
    <w:rsid w:val="00741808"/>
    <w:rsid w:val="00741E94"/>
    <w:rsid w:val="00743252"/>
    <w:rsid w:val="00743287"/>
    <w:rsid w:val="007433EC"/>
    <w:rsid w:val="00743A9F"/>
    <w:rsid w:val="0074417C"/>
    <w:rsid w:val="00744997"/>
    <w:rsid w:val="00744BF5"/>
    <w:rsid w:val="00744F8D"/>
    <w:rsid w:val="0074626A"/>
    <w:rsid w:val="00746D18"/>
    <w:rsid w:val="00746D80"/>
    <w:rsid w:val="0074735E"/>
    <w:rsid w:val="00747FD3"/>
    <w:rsid w:val="00751C41"/>
    <w:rsid w:val="00751C42"/>
    <w:rsid w:val="00752193"/>
    <w:rsid w:val="00752198"/>
    <w:rsid w:val="00752239"/>
    <w:rsid w:val="007535A8"/>
    <w:rsid w:val="007536F6"/>
    <w:rsid w:val="00753B52"/>
    <w:rsid w:val="00754077"/>
    <w:rsid w:val="00754365"/>
    <w:rsid w:val="00754AB8"/>
    <w:rsid w:val="00754AF6"/>
    <w:rsid w:val="00754B1A"/>
    <w:rsid w:val="00756F5E"/>
    <w:rsid w:val="00757E13"/>
    <w:rsid w:val="00760A4D"/>
    <w:rsid w:val="007615A4"/>
    <w:rsid w:val="007618EE"/>
    <w:rsid w:val="00762830"/>
    <w:rsid w:val="0076367B"/>
    <w:rsid w:val="0076389E"/>
    <w:rsid w:val="00763A7E"/>
    <w:rsid w:val="00763B39"/>
    <w:rsid w:val="007643CB"/>
    <w:rsid w:val="0076473F"/>
    <w:rsid w:val="0076559B"/>
    <w:rsid w:val="007657F6"/>
    <w:rsid w:val="00765C50"/>
    <w:rsid w:val="00765CCF"/>
    <w:rsid w:val="00765E94"/>
    <w:rsid w:val="007666D7"/>
    <w:rsid w:val="00770D35"/>
    <w:rsid w:val="00770F74"/>
    <w:rsid w:val="007725E4"/>
    <w:rsid w:val="00772765"/>
    <w:rsid w:val="00772E73"/>
    <w:rsid w:val="00772F25"/>
    <w:rsid w:val="00773504"/>
    <w:rsid w:val="00773762"/>
    <w:rsid w:val="00774297"/>
    <w:rsid w:val="00775093"/>
    <w:rsid w:val="007751BD"/>
    <w:rsid w:val="007759AC"/>
    <w:rsid w:val="007761CA"/>
    <w:rsid w:val="007761FB"/>
    <w:rsid w:val="00777972"/>
    <w:rsid w:val="007779B8"/>
    <w:rsid w:val="00782047"/>
    <w:rsid w:val="00782356"/>
    <w:rsid w:val="00782B04"/>
    <w:rsid w:val="00782EA0"/>
    <w:rsid w:val="00783FFF"/>
    <w:rsid w:val="0078409C"/>
    <w:rsid w:val="007845AD"/>
    <w:rsid w:val="00784C31"/>
    <w:rsid w:val="00784C99"/>
    <w:rsid w:val="00785CBD"/>
    <w:rsid w:val="00786ED9"/>
    <w:rsid w:val="007872EF"/>
    <w:rsid w:val="007874CE"/>
    <w:rsid w:val="0078753B"/>
    <w:rsid w:val="00787B98"/>
    <w:rsid w:val="00787FFD"/>
    <w:rsid w:val="00790A9D"/>
    <w:rsid w:val="00791B7B"/>
    <w:rsid w:val="007922F5"/>
    <w:rsid w:val="007936D8"/>
    <w:rsid w:val="007937FE"/>
    <w:rsid w:val="00793837"/>
    <w:rsid w:val="00794134"/>
    <w:rsid w:val="00794617"/>
    <w:rsid w:val="007948C2"/>
    <w:rsid w:val="00794E28"/>
    <w:rsid w:val="007954B9"/>
    <w:rsid w:val="007959FC"/>
    <w:rsid w:val="00797096"/>
    <w:rsid w:val="007978E9"/>
    <w:rsid w:val="0079794E"/>
    <w:rsid w:val="007A0749"/>
    <w:rsid w:val="007A160A"/>
    <w:rsid w:val="007A1C6F"/>
    <w:rsid w:val="007A2422"/>
    <w:rsid w:val="007A319C"/>
    <w:rsid w:val="007A34FD"/>
    <w:rsid w:val="007A3B59"/>
    <w:rsid w:val="007A4235"/>
    <w:rsid w:val="007A4881"/>
    <w:rsid w:val="007A52CE"/>
    <w:rsid w:val="007A5980"/>
    <w:rsid w:val="007A59E6"/>
    <w:rsid w:val="007A629E"/>
    <w:rsid w:val="007A6EA9"/>
    <w:rsid w:val="007A6EC2"/>
    <w:rsid w:val="007B04F8"/>
    <w:rsid w:val="007B0F6E"/>
    <w:rsid w:val="007B0F71"/>
    <w:rsid w:val="007B188F"/>
    <w:rsid w:val="007B2694"/>
    <w:rsid w:val="007B28BD"/>
    <w:rsid w:val="007B3685"/>
    <w:rsid w:val="007B38AE"/>
    <w:rsid w:val="007B39F2"/>
    <w:rsid w:val="007B4BE3"/>
    <w:rsid w:val="007B541C"/>
    <w:rsid w:val="007B544F"/>
    <w:rsid w:val="007B59CE"/>
    <w:rsid w:val="007B6543"/>
    <w:rsid w:val="007B6824"/>
    <w:rsid w:val="007B7259"/>
    <w:rsid w:val="007B7400"/>
    <w:rsid w:val="007B771C"/>
    <w:rsid w:val="007B78DF"/>
    <w:rsid w:val="007B7AF3"/>
    <w:rsid w:val="007C0533"/>
    <w:rsid w:val="007C0AD9"/>
    <w:rsid w:val="007C1C96"/>
    <w:rsid w:val="007C1EC4"/>
    <w:rsid w:val="007C1F05"/>
    <w:rsid w:val="007C2C44"/>
    <w:rsid w:val="007C2E87"/>
    <w:rsid w:val="007C37F2"/>
    <w:rsid w:val="007C4278"/>
    <w:rsid w:val="007C439E"/>
    <w:rsid w:val="007C44D4"/>
    <w:rsid w:val="007C55BB"/>
    <w:rsid w:val="007C59FC"/>
    <w:rsid w:val="007C5EA4"/>
    <w:rsid w:val="007C6613"/>
    <w:rsid w:val="007C6D35"/>
    <w:rsid w:val="007C6D88"/>
    <w:rsid w:val="007C7360"/>
    <w:rsid w:val="007C7634"/>
    <w:rsid w:val="007C7814"/>
    <w:rsid w:val="007C7E81"/>
    <w:rsid w:val="007D0CE4"/>
    <w:rsid w:val="007D0DF1"/>
    <w:rsid w:val="007D292B"/>
    <w:rsid w:val="007D2E64"/>
    <w:rsid w:val="007D34A5"/>
    <w:rsid w:val="007D394F"/>
    <w:rsid w:val="007D3B3F"/>
    <w:rsid w:val="007D3E3F"/>
    <w:rsid w:val="007D4444"/>
    <w:rsid w:val="007D48FE"/>
    <w:rsid w:val="007D5018"/>
    <w:rsid w:val="007D51CB"/>
    <w:rsid w:val="007D65D3"/>
    <w:rsid w:val="007D7351"/>
    <w:rsid w:val="007D7555"/>
    <w:rsid w:val="007D7AE5"/>
    <w:rsid w:val="007E0B31"/>
    <w:rsid w:val="007E1C7C"/>
    <w:rsid w:val="007E28E7"/>
    <w:rsid w:val="007E2B74"/>
    <w:rsid w:val="007E30F2"/>
    <w:rsid w:val="007E3510"/>
    <w:rsid w:val="007E367F"/>
    <w:rsid w:val="007E3E6D"/>
    <w:rsid w:val="007E41DF"/>
    <w:rsid w:val="007E43C4"/>
    <w:rsid w:val="007E454B"/>
    <w:rsid w:val="007E524F"/>
    <w:rsid w:val="007E5FAA"/>
    <w:rsid w:val="007E611D"/>
    <w:rsid w:val="007E6F46"/>
    <w:rsid w:val="007F0111"/>
    <w:rsid w:val="007F0F25"/>
    <w:rsid w:val="007F1AF1"/>
    <w:rsid w:val="007F2014"/>
    <w:rsid w:val="007F2849"/>
    <w:rsid w:val="007F2D48"/>
    <w:rsid w:val="007F300E"/>
    <w:rsid w:val="007F3425"/>
    <w:rsid w:val="007F366E"/>
    <w:rsid w:val="007F378A"/>
    <w:rsid w:val="007F4268"/>
    <w:rsid w:val="007F4372"/>
    <w:rsid w:val="007F466B"/>
    <w:rsid w:val="007F4F0A"/>
    <w:rsid w:val="007F53FB"/>
    <w:rsid w:val="007F5658"/>
    <w:rsid w:val="007F5932"/>
    <w:rsid w:val="007F59DE"/>
    <w:rsid w:val="007F6166"/>
    <w:rsid w:val="007F6ED9"/>
    <w:rsid w:val="007F77BF"/>
    <w:rsid w:val="007F7B98"/>
    <w:rsid w:val="007F7F5E"/>
    <w:rsid w:val="00800B77"/>
    <w:rsid w:val="00800D85"/>
    <w:rsid w:val="00800E59"/>
    <w:rsid w:val="00801864"/>
    <w:rsid w:val="00801F21"/>
    <w:rsid w:val="00802189"/>
    <w:rsid w:val="00802B99"/>
    <w:rsid w:val="00802C3E"/>
    <w:rsid w:val="0080378A"/>
    <w:rsid w:val="00803A1B"/>
    <w:rsid w:val="00803A94"/>
    <w:rsid w:val="0080404C"/>
    <w:rsid w:val="008040AB"/>
    <w:rsid w:val="00805E67"/>
    <w:rsid w:val="00806EEF"/>
    <w:rsid w:val="0080706F"/>
    <w:rsid w:val="0080707F"/>
    <w:rsid w:val="00807689"/>
    <w:rsid w:val="008076E0"/>
    <w:rsid w:val="00807841"/>
    <w:rsid w:val="00810589"/>
    <w:rsid w:val="0081120E"/>
    <w:rsid w:val="008112CD"/>
    <w:rsid w:val="008116D0"/>
    <w:rsid w:val="008119E0"/>
    <w:rsid w:val="008120F8"/>
    <w:rsid w:val="00813E1B"/>
    <w:rsid w:val="00813E4D"/>
    <w:rsid w:val="00814780"/>
    <w:rsid w:val="0081576E"/>
    <w:rsid w:val="008169CD"/>
    <w:rsid w:val="00816BD0"/>
    <w:rsid w:val="00816CA5"/>
    <w:rsid w:val="00816E2E"/>
    <w:rsid w:val="00816F67"/>
    <w:rsid w:val="00817102"/>
    <w:rsid w:val="008212B5"/>
    <w:rsid w:val="008212C8"/>
    <w:rsid w:val="00821348"/>
    <w:rsid w:val="00821CD6"/>
    <w:rsid w:val="008227BF"/>
    <w:rsid w:val="008233CD"/>
    <w:rsid w:val="00823512"/>
    <w:rsid w:val="008243D4"/>
    <w:rsid w:val="008245C4"/>
    <w:rsid w:val="008248A5"/>
    <w:rsid w:val="00825195"/>
    <w:rsid w:val="00826136"/>
    <w:rsid w:val="00826E25"/>
    <w:rsid w:val="00827408"/>
    <w:rsid w:val="00827645"/>
    <w:rsid w:val="00827759"/>
    <w:rsid w:val="0082796B"/>
    <w:rsid w:val="00827C88"/>
    <w:rsid w:val="00827DE7"/>
    <w:rsid w:val="00827EE1"/>
    <w:rsid w:val="00830349"/>
    <w:rsid w:val="0083061D"/>
    <w:rsid w:val="00831069"/>
    <w:rsid w:val="008310EA"/>
    <w:rsid w:val="008310FD"/>
    <w:rsid w:val="0083135D"/>
    <w:rsid w:val="008327E1"/>
    <w:rsid w:val="00833AE5"/>
    <w:rsid w:val="00834BF1"/>
    <w:rsid w:val="00834C11"/>
    <w:rsid w:val="00834F71"/>
    <w:rsid w:val="008353FA"/>
    <w:rsid w:val="0083542D"/>
    <w:rsid w:val="0083624A"/>
    <w:rsid w:val="008362A8"/>
    <w:rsid w:val="008376D6"/>
    <w:rsid w:val="008406A2"/>
    <w:rsid w:val="00840723"/>
    <w:rsid w:val="00840B48"/>
    <w:rsid w:val="0084135E"/>
    <w:rsid w:val="00841659"/>
    <w:rsid w:val="0084262B"/>
    <w:rsid w:val="00843047"/>
    <w:rsid w:val="00843A60"/>
    <w:rsid w:val="00843CA9"/>
    <w:rsid w:val="00844432"/>
    <w:rsid w:val="00845938"/>
    <w:rsid w:val="00845CF3"/>
    <w:rsid w:val="008467E8"/>
    <w:rsid w:val="00846A5F"/>
    <w:rsid w:val="008473F2"/>
    <w:rsid w:val="008476BA"/>
    <w:rsid w:val="00850172"/>
    <w:rsid w:val="00851959"/>
    <w:rsid w:val="0085224D"/>
    <w:rsid w:val="00852458"/>
    <w:rsid w:val="00852B75"/>
    <w:rsid w:val="00852DF3"/>
    <w:rsid w:val="00853370"/>
    <w:rsid w:val="00854C89"/>
    <w:rsid w:val="00854F58"/>
    <w:rsid w:val="0085580C"/>
    <w:rsid w:val="00855847"/>
    <w:rsid w:val="008559EC"/>
    <w:rsid w:val="00856278"/>
    <w:rsid w:val="00856AEB"/>
    <w:rsid w:val="008572FB"/>
    <w:rsid w:val="00857933"/>
    <w:rsid w:val="00860A66"/>
    <w:rsid w:val="00861195"/>
    <w:rsid w:val="008619DE"/>
    <w:rsid w:val="00861AF4"/>
    <w:rsid w:val="00861CF8"/>
    <w:rsid w:val="0086227B"/>
    <w:rsid w:val="00862592"/>
    <w:rsid w:val="008625F3"/>
    <w:rsid w:val="00863439"/>
    <w:rsid w:val="00863823"/>
    <w:rsid w:val="00863F75"/>
    <w:rsid w:val="008648E1"/>
    <w:rsid w:val="00864E2E"/>
    <w:rsid w:val="00864F76"/>
    <w:rsid w:val="008666A7"/>
    <w:rsid w:val="00867753"/>
    <w:rsid w:val="00867C78"/>
    <w:rsid w:val="00870B9C"/>
    <w:rsid w:val="00870E96"/>
    <w:rsid w:val="008719EF"/>
    <w:rsid w:val="00872DD8"/>
    <w:rsid w:val="00873062"/>
    <w:rsid w:val="00873466"/>
    <w:rsid w:val="00873E31"/>
    <w:rsid w:val="00873EA4"/>
    <w:rsid w:val="00873FF7"/>
    <w:rsid w:val="0087415D"/>
    <w:rsid w:val="008741C7"/>
    <w:rsid w:val="00874587"/>
    <w:rsid w:val="008745AF"/>
    <w:rsid w:val="00874687"/>
    <w:rsid w:val="00874949"/>
    <w:rsid w:val="00874DEC"/>
    <w:rsid w:val="008763B3"/>
    <w:rsid w:val="00876F66"/>
    <w:rsid w:val="00876F8E"/>
    <w:rsid w:val="00877873"/>
    <w:rsid w:val="00877ECC"/>
    <w:rsid w:val="008801F2"/>
    <w:rsid w:val="0088076D"/>
    <w:rsid w:val="0088104A"/>
    <w:rsid w:val="0088181E"/>
    <w:rsid w:val="00882009"/>
    <w:rsid w:val="0088202F"/>
    <w:rsid w:val="00883250"/>
    <w:rsid w:val="00883747"/>
    <w:rsid w:val="00884851"/>
    <w:rsid w:val="00884A78"/>
    <w:rsid w:val="00884E2C"/>
    <w:rsid w:val="00884F8C"/>
    <w:rsid w:val="00885A87"/>
    <w:rsid w:val="00885C05"/>
    <w:rsid w:val="00885F20"/>
    <w:rsid w:val="00886412"/>
    <w:rsid w:val="008869CC"/>
    <w:rsid w:val="00886DBB"/>
    <w:rsid w:val="00887D47"/>
    <w:rsid w:val="00887E98"/>
    <w:rsid w:val="008904BB"/>
    <w:rsid w:val="00890D11"/>
    <w:rsid w:val="00890F21"/>
    <w:rsid w:val="00891017"/>
    <w:rsid w:val="00891DD5"/>
    <w:rsid w:val="00892834"/>
    <w:rsid w:val="00892CE5"/>
    <w:rsid w:val="008942BC"/>
    <w:rsid w:val="00894456"/>
    <w:rsid w:val="00894562"/>
    <w:rsid w:val="00894AE1"/>
    <w:rsid w:val="0089529C"/>
    <w:rsid w:val="0089546C"/>
    <w:rsid w:val="00895B6C"/>
    <w:rsid w:val="00895DDC"/>
    <w:rsid w:val="00896009"/>
    <w:rsid w:val="0089664F"/>
    <w:rsid w:val="008966B1"/>
    <w:rsid w:val="008978D2"/>
    <w:rsid w:val="008A042D"/>
    <w:rsid w:val="008A08CB"/>
    <w:rsid w:val="008A0933"/>
    <w:rsid w:val="008A0F55"/>
    <w:rsid w:val="008A1728"/>
    <w:rsid w:val="008A1949"/>
    <w:rsid w:val="008A1F20"/>
    <w:rsid w:val="008A1FDE"/>
    <w:rsid w:val="008A219C"/>
    <w:rsid w:val="008A40FA"/>
    <w:rsid w:val="008A45AE"/>
    <w:rsid w:val="008A4B90"/>
    <w:rsid w:val="008A52DE"/>
    <w:rsid w:val="008A56FA"/>
    <w:rsid w:val="008A5C15"/>
    <w:rsid w:val="008A5F43"/>
    <w:rsid w:val="008A6D9B"/>
    <w:rsid w:val="008A6ED8"/>
    <w:rsid w:val="008B03A1"/>
    <w:rsid w:val="008B04F1"/>
    <w:rsid w:val="008B065B"/>
    <w:rsid w:val="008B0929"/>
    <w:rsid w:val="008B1698"/>
    <w:rsid w:val="008B188D"/>
    <w:rsid w:val="008B1C9B"/>
    <w:rsid w:val="008B410E"/>
    <w:rsid w:val="008B4552"/>
    <w:rsid w:val="008B4B2C"/>
    <w:rsid w:val="008B4D4C"/>
    <w:rsid w:val="008B5099"/>
    <w:rsid w:val="008B5574"/>
    <w:rsid w:val="008B5665"/>
    <w:rsid w:val="008B6E20"/>
    <w:rsid w:val="008B6E92"/>
    <w:rsid w:val="008B74E2"/>
    <w:rsid w:val="008C09AB"/>
    <w:rsid w:val="008C0EA4"/>
    <w:rsid w:val="008C1D7D"/>
    <w:rsid w:val="008C2A63"/>
    <w:rsid w:val="008C2AEB"/>
    <w:rsid w:val="008C3697"/>
    <w:rsid w:val="008C3E70"/>
    <w:rsid w:val="008C419D"/>
    <w:rsid w:val="008C4722"/>
    <w:rsid w:val="008C5A26"/>
    <w:rsid w:val="008C5E2A"/>
    <w:rsid w:val="008C5EE9"/>
    <w:rsid w:val="008C5F62"/>
    <w:rsid w:val="008C611C"/>
    <w:rsid w:val="008C6BD7"/>
    <w:rsid w:val="008C6DC2"/>
    <w:rsid w:val="008C71D3"/>
    <w:rsid w:val="008C74AA"/>
    <w:rsid w:val="008C7786"/>
    <w:rsid w:val="008C7FED"/>
    <w:rsid w:val="008D0144"/>
    <w:rsid w:val="008D01C2"/>
    <w:rsid w:val="008D09C6"/>
    <w:rsid w:val="008D2182"/>
    <w:rsid w:val="008D254E"/>
    <w:rsid w:val="008D3121"/>
    <w:rsid w:val="008D42C5"/>
    <w:rsid w:val="008D504C"/>
    <w:rsid w:val="008D51F1"/>
    <w:rsid w:val="008D5B6C"/>
    <w:rsid w:val="008D7413"/>
    <w:rsid w:val="008D7C8D"/>
    <w:rsid w:val="008E0450"/>
    <w:rsid w:val="008E0751"/>
    <w:rsid w:val="008E0967"/>
    <w:rsid w:val="008E0BB8"/>
    <w:rsid w:val="008E12A6"/>
    <w:rsid w:val="008E26FA"/>
    <w:rsid w:val="008E309C"/>
    <w:rsid w:val="008E376E"/>
    <w:rsid w:val="008E378C"/>
    <w:rsid w:val="008E42F7"/>
    <w:rsid w:val="008E4627"/>
    <w:rsid w:val="008E46DB"/>
    <w:rsid w:val="008E599A"/>
    <w:rsid w:val="008E5C0A"/>
    <w:rsid w:val="008E5F75"/>
    <w:rsid w:val="008E6006"/>
    <w:rsid w:val="008E63FC"/>
    <w:rsid w:val="008E6991"/>
    <w:rsid w:val="008E6DC6"/>
    <w:rsid w:val="008E754D"/>
    <w:rsid w:val="008E7578"/>
    <w:rsid w:val="008E796F"/>
    <w:rsid w:val="008E7C7F"/>
    <w:rsid w:val="008F0C74"/>
    <w:rsid w:val="008F1429"/>
    <w:rsid w:val="008F1978"/>
    <w:rsid w:val="008F1CB7"/>
    <w:rsid w:val="008F201E"/>
    <w:rsid w:val="008F2162"/>
    <w:rsid w:val="008F229E"/>
    <w:rsid w:val="008F2361"/>
    <w:rsid w:val="008F26F6"/>
    <w:rsid w:val="008F34D2"/>
    <w:rsid w:val="008F3764"/>
    <w:rsid w:val="008F3C67"/>
    <w:rsid w:val="008F505B"/>
    <w:rsid w:val="008F5C89"/>
    <w:rsid w:val="008F5CA1"/>
    <w:rsid w:val="008F60EF"/>
    <w:rsid w:val="008F6595"/>
    <w:rsid w:val="008F70C7"/>
    <w:rsid w:val="008F724D"/>
    <w:rsid w:val="008F7871"/>
    <w:rsid w:val="008F7930"/>
    <w:rsid w:val="008F7B3C"/>
    <w:rsid w:val="009002B0"/>
    <w:rsid w:val="00900A7D"/>
    <w:rsid w:val="009010FC"/>
    <w:rsid w:val="00902588"/>
    <w:rsid w:val="0090259E"/>
    <w:rsid w:val="00902810"/>
    <w:rsid w:val="00902A38"/>
    <w:rsid w:val="00902D1F"/>
    <w:rsid w:val="00904949"/>
    <w:rsid w:val="00904FED"/>
    <w:rsid w:val="0090519C"/>
    <w:rsid w:val="00905DDB"/>
    <w:rsid w:val="00905E76"/>
    <w:rsid w:val="009064DA"/>
    <w:rsid w:val="009067CB"/>
    <w:rsid w:val="00906AC4"/>
    <w:rsid w:val="009078CA"/>
    <w:rsid w:val="00910088"/>
    <w:rsid w:val="009108A1"/>
    <w:rsid w:val="009108C1"/>
    <w:rsid w:val="009110AF"/>
    <w:rsid w:val="00911492"/>
    <w:rsid w:val="0091186D"/>
    <w:rsid w:val="00911EAD"/>
    <w:rsid w:val="00912635"/>
    <w:rsid w:val="009136EF"/>
    <w:rsid w:val="00913D1E"/>
    <w:rsid w:val="009144D9"/>
    <w:rsid w:val="009146DB"/>
    <w:rsid w:val="00914AB3"/>
    <w:rsid w:val="00915D8C"/>
    <w:rsid w:val="009174D0"/>
    <w:rsid w:val="00917DA8"/>
    <w:rsid w:val="009215FE"/>
    <w:rsid w:val="009229B0"/>
    <w:rsid w:val="00922A8F"/>
    <w:rsid w:val="00922AB4"/>
    <w:rsid w:val="00922BFA"/>
    <w:rsid w:val="009234BC"/>
    <w:rsid w:val="00924210"/>
    <w:rsid w:val="00924D80"/>
    <w:rsid w:val="0092512D"/>
    <w:rsid w:val="00925EE1"/>
    <w:rsid w:val="009260F8"/>
    <w:rsid w:val="00926B42"/>
    <w:rsid w:val="00926BB6"/>
    <w:rsid w:val="0092752C"/>
    <w:rsid w:val="00927AC5"/>
    <w:rsid w:val="00927EDB"/>
    <w:rsid w:val="00930551"/>
    <w:rsid w:val="009305A1"/>
    <w:rsid w:val="00930BC8"/>
    <w:rsid w:val="00932175"/>
    <w:rsid w:val="0093220C"/>
    <w:rsid w:val="00932B93"/>
    <w:rsid w:val="0093334C"/>
    <w:rsid w:val="009334BD"/>
    <w:rsid w:val="0093422F"/>
    <w:rsid w:val="00934973"/>
    <w:rsid w:val="00934AE7"/>
    <w:rsid w:val="00934C0A"/>
    <w:rsid w:val="009362A8"/>
    <w:rsid w:val="00936CAA"/>
    <w:rsid w:val="0093727D"/>
    <w:rsid w:val="00940914"/>
    <w:rsid w:val="009417B0"/>
    <w:rsid w:val="00941C6C"/>
    <w:rsid w:val="009420AD"/>
    <w:rsid w:val="009421E8"/>
    <w:rsid w:val="009422CD"/>
    <w:rsid w:val="0094350F"/>
    <w:rsid w:val="00943CE8"/>
    <w:rsid w:val="00944191"/>
    <w:rsid w:val="009443AE"/>
    <w:rsid w:val="00944452"/>
    <w:rsid w:val="0094492F"/>
    <w:rsid w:val="00944D89"/>
    <w:rsid w:val="00944DC6"/>
    <w:rsid w:val="00945446"/>
    <w:rsid w:val="0094563F"/>
    <w:rsid w:val="00945C0E"/>
    <w:rsid w:val="0094620E"/>
    <w:rsid w:val="00947229"/>
    <w:rsid w:val="009474F7"/>
    <w:rsid w:val="00947691"/>
    <w:rsid w:val="00947AFC"/>
    <w:rsid w:val="009512DF"/>
    <w:rsid w:val="009524C6"/>
    <w:rsid w:val="00952B96"/>
    <w:rsid w:val="00952EE9"/>
    <w:rsid w:val="009533B2"/>
    <w:rsid w:val="009534F4"/>
    <w:rsid w:val="00953A47"/>
    <w:rsid w:val="00953E8F"/>
    <w:rsid w:val="009544FE"/>
    <w:rsid w:val="0095683C"/>
    <w:rsid w:val="00956CE7"/>
    <w:rsid w:val="00956DDF"/>
    <w:rsid w:val="009576D6"/>
    <w:rsid w:val="00957A45"/>
    <w:rsid w:val="009610BE"/>
    <w:rsid w:val="0096195C"/>
    <w:rsid w:val="00961EAD"/>
    <w:rsid w:val="00962853"/>
    <w:rsid w:val="00962C2E"/>
    <w:rsid w:val="0096330B"/>
    <w:rsid w:val="0096441C"/>
    <w:rsid w:val="00964470"/>
    <w:rsid w:val="00964B3A"/>
    <w:rsid w:val="00964C70"/>
    <w:rsid w:val="00964E01"/>
    <w:rsid w:val="009655AC"/>
    <w:rsid w:val="00967A27"/>
    <w:rsid w:val="00967B2C"/>
    <w:rsid w:val="00967D7B"/>
    <w:rsid w:val="00970FA6"/>
    <w:rsid w:val="00971557"/>
    <w:rsid w:val="00972597"/>
    <w:rsid w:val="00972DCC"/>
    <w:rsid w:val="00973655"/>
    <w:rsid w:val="00973790"/>
    <w:rsid w:val="009748D4"/>
    <w:rsid w:val="00974EB2"/>
    <w:rsid w:val="00975880"/>
    <w:rsid w:val="00975F66"/>
    <w:rsid w:val="00976BC5"/>
    <w:rsid w:val="00976D95"/>
    <w:rsid w:val="00977034"/>
    <w:rsid w:val="009772C8"/>
    <w:rsid w:val="00977CD2"/>
    <w:rsid w:val="00977E69"/>
    <w:rsid w:val="00981790"/>
    <w:rsid w:val="00981917"/>
    <w:rsid w:val="00982874"/>
    <w:rsid w:val="00983592"/>
    <w:rsid w:val="009835D5"/>
    <w:rsid w:val="0098389D"/>
    <w:rsid w:val="00983977"/>
    <w:rsid w:val="00983A06"/>
    <w:rsid w:val="00983CA9"/>
    <w:rsid w:val="009859D9"/>
    <w:rsid w:val="00985A84"/>
    <w:rsid w:val="00985AC3"/>
    <w:rsid w:val="00985C85"/>
    <w:rsid w:val="009862CE"/>
    <w:rsid w:val="00986F8F"/>
    <w:rsid w:val="0098704E"/>
    <w:rsid w:val="009879CD"/>
    <w:rsid w:val="00987C06"/>
    <w:rsid w:val="009902EC"/>
    <w:rsid w:val="0099034D"/>
    <w:rsid w:val="0099061F"/>
    <w:rsid w:val="0099066F"/>
    <w:rsid w:val="00990F3E"/>
    <w:rsid w:val="009914EE"/>
    <w:rsid w:val="009920BD"/>
    <w:rsid w:val="0099235E"/>
    <w:rsid w:val="00992B8E"/>
    <w:rsid w:val="00993A2D"/>
    <w:rsid w:val="00993B7D"/>
    <w:rsid w:val="00993C62"/>
    <w:rsid w:val="00993FD0"/>
    <w:rsid w:val="0099437D"/>
    <w:rsid w:val="00994807"/>
    <w:rsid w:val="00994A0F"/>
    <w:rsid w:val="00995558"/>
    <w:rsid w:val="00995B4F"/>
    <w:rsid w:val="00996371"/>
    <w:rsid w:val="00996FA6"/>
    <w:rsid w:val="0099738C"/>
    <w:rsid w:val="00997CFB"/>
    <w:rsid w:val="009A005D"/>
    <w:rsid w:val="009A077F"/>
    <w:rsid w:val="009A0DCB"/>
    <w:rsid w:val="009A1593"/>
    <w:rsid w:val="009A1A4F"/>
    <w:rsid w:val="009A2D94"/>
    <w:rsid w:val="009A2E85"/>
    <w:rsid w:val="009A3279"/>
    <w:rsid w:val="009A3722"/>
    <w:rsid w:val="009A3D24"/>
    <w:rsid w:val="009A461B"/>
    <w:rsid w:val="009A581B"/>
    <w:rsid w:val="009A5CEE"/>
    <w:rsid w:val="009A6CF5"/>
    <w:rsid w:val="009B05EB"/>
    <w:rsid w:val="009B0B90"/>
    <w:rsid w:val="009B0E80"/>
    <w:rsid w:val="009B0FC7"/>
    <w:rsid w:val="009B1750"/>
    <w:rsid w:val="009B191A"/>
    <w:rsid w:val="009B2A52"/>
    <w:rsid w:val="009B2C42"/>
    <w:rsid w:val="009B3EAB"/>
    <w:rsid w:val="009B3EF2"/>
    <w:rsid w:val="009B429B"/>
    <w:rsid w:val="009B4E82"/>
    <w:rsid w:val="009B565B"/>
    <w:rsid w:val="009B5BE9"/>
    <w:rsid w:val="009B656E"/>
    <w:rsid w:val="009B6AC8"/>
    <w:rsid w:val="009C011E"/>
    <w:rsid w:val="009C05E7"/>
    <w:rsid w:val="009C0AB1"/>
    <w:rsid w:val="009C107D"/>
    <w:rsid w:val="009C1962"/>
    <w:rsid w:val="009C1CC6"/>
    <w:rsid w:val="009C29D4"/>
    <w:rsid w:val="009C30AB"/>
    <w:rsid w:val="009C30CA"/>
    <w:rsid w:val="009C385A"/>
    <w:rsid w:val="009C3C0E"/>
    <w:rsid w:val="009C4636"/>
    <w:rsid w:val="009C4A26"/>
    <w:rsid w:val="009C4B49"/>
    <w:rsid w:val="009C4E26"/>
    <w:rsid w:val="009C6FE8"/>
    <w:rsid w:val="009C7C17"/>
    <w:rsid w:val="009D050D"/>
    <w:rsid w:val="009D1496"/>
    <w:rsid w:val="009D1794"/>
    <w:rsid w:val="009D17A0"/>
    <w:rsid w:val="009D214E"/>
    <w:rsid w:val="009D31F6"/>
    <w:rsid w:val="009D3BEF"/>
    <w:rsid w:val="009D448B"/>
    <w:rsid w:val="009D44AF"/>
    <w:rsid w:val="009D4E4D"/>
    <w:rsid w:val="009D57AA"/>
    <w:rsid w:val="009D5B91"/>
    <w:rsid w:val="009D5CF3"/>
    <w:rsid w:val="009D6272"/>
    <w:rsid w:val="009D748F"/>
    <w:rsid w:val="009E0A8D"/>
    <w:rsid w:val="009E0C50"/>
    <w:rsid w:val="009E2433"/>
    <w:rsid w:val="009E289F"/>
    <w:rsid w:val="009E2D2E"/>
    <w:rsid w:val="009E317F"/>
    <w:rsid w:val="009E3416"/>
    <w:rsid w:val="009E3818"/>
    <w:rsid w:val="009E3AE0"/>
    <w:rsid w:val="009E5EC6"/>
    <w:rsid w:val="009E64C4"/>
    <w:rsid w:val="009E6766"/>
    <w:rsid w:val="009E6790"/>
    <w:rsid w:val="009E6E67"/>
    <w:rsid w:val="009E7179"/>
    <w:rsid w:val="009E7194"/>
    <w:rsid w:val="009F0B93"/>
    <w:rsid w:val="009F0D9B"/>
    <w:rsid w:val="009F1024"/>
    <w:rsid w:val="009F1E52"/>
    <w:rsid w:val="009F2B62"/>
    <w:rsid w:val="009F31CF"/>
    <w:rsid w:val="009F367C"/>
    <w:rsid w:val="009F3AE4"/>
    <w:rsid w:val="009F3D6E"/>
    <w:rsid w:val="009F5398"/>
    <w:rsid w:val="009F5B9F"/>
    <w:rsid w:val="009F6298"/>
    <w:rsid w:val="009F6E79"/>
    <w:rsid w:val="009F7997"/>
    <w:rsid w:val="009F7B4F"/>
    <w:rsid w:val="00A0097B"/>
    <w:rsid w:val="00A01C6F"/>
    <w:rsid w:val="00A0211D"/>
    <w:rsid w:val="00A034E0"/>
    <w:rsid w:val="00A03565"/>
    <w:rsid w:val="00A03F70"/>
    <w:rsid w:val="00A0401C"/>
    <w:rsid w:val="00A040CC"/>
    <w:rsid w:val="00A0529E"/>
    <w:rsid w:val="00A05F36"/>
    <w:rsid w:val="00A066BC"/>
    <w:rsid w:val="00A076F7"/>
    <w:rsid w:val="00A07F88"/>
    <w:rsid w:val="00A10C5B"/>
    <w:rsid w:val="00A1106C"/>
    <w:rsid w:val="00A113C4"/>
    <w:rsid w:val="00A117C4"/>
    <w:rsid w:val="00A12A32"/>
    <w:rsid w:val="00A13344"/>
    <w:rsid w:val="00A13438"/>
    <w:rsid w:val="00A14523"/>
    <w:rsid w:val="00A14D39"/>
    <w:rsid w:val="00A15E52"/>
    <w:rsid w:val="00A16188"/>
    <w:rsid w:val="00A17062"/>
    <w:rsid w:val="00A20575"/>
    <w:rsid w:val="00A20C7C"/>
    <w:rsid w:val="00A20EFB"/>
    <w:rsid w:val="00A20F80"/>
    <w:rsid w:val="00A20FA4"/>
    <w:rsid w:val="00A22DD7"/>
    <w:rsid w:val="00A23DCA"/>
    <w:rsid w:val="00A24191"/>
    <w:rsid w:val="00A24C39"/>
    <w:rsid w:val="00A254A2"/>
    <w:rsid w:val="00A25B12"/>
    <w:rsid w:val="00A25E45"/>
    <w:rsid w:val="00A2641C"/>
    <w:rsid w:val="00A26906"/>
    <w:rsid w:val="00A27428"/>
    <w:rsid w:val="00A27495"/>
    <w:rsid w:val="00A27D71"/>
    <w:rsid w:val="00A30959"/>
    <w:rsid w:val="00A30D71"/>
    <w:rsid w:val="00A31031"/>
    <w:rsid w:val="00A31192"/>
    <w:rsid w:val="00A3140E"/>
    <w:rsid w:val="00A31B12"/>
    <w:rsid w:val="00A31C81"/>
    <w:rsid w:val="00A31CD2"/>
    <w:rsid w:val="00A32C25"/>
    <w:rsid w:val="00A342CE"/>
    <w:rsid w:val="00A346A5"/>
    <w:rsid w:val="00A356B4"/>
    <w:rsid w:val="00A357DF"/>
    <w:rsid w:val="00A358CE"/>
    <w:rsid w:val="00A36360"/>
    <w:rsid w:val="00A3731E"/>
    <w:rsid w:val="00A376A2"/>
    <w:rsid w:val="00A37F8A"/>
    <w:rsid w:val="00A40C79"/>
    <w:rsid w:val="00A411A4"/>
    <w:rsid w:val="00A420A3"/>
    <w:rsid w:val="00A42B3E"/>
    <w:rsid w:val="00A43FC8"/>
    <w:rsid w:val="00A443B7"/>
    <w:rsid w:val="00A44454"/>
    <w:rsid w:val="00A4449E"/>
    <w:rsid w:val="00A451B8"/>
    <w:rsid w:val="00A456D6"/>
    <w:rsid w:val="00A45884"/>
    <w:rsid w:val="00A45B0B"/>
    <w:rsid w:val="00A45E73"/>
    <w:rsid w:val="00A46567"/>
    <w:rsid w:val="00A4752C"/>
    <w:rsid w:val="00A4757D"/>
    <w:rsid w:val="00A479D4"/>
    <w:rsid w:val="00A50B0C"/>
    <w:rsid w:val="00A5173F"/>
    <w:rsid w:val="00A518E0"/>
    <w:rsid w:val="00A518EF"/>
    <w:rsid w:val="00A5227F"/>
    <w:rsid w:val="00A5271C"/>
    <w:rsid w:val="00A52968"/>
    <w:rsid w:val="00A52ECE"/>
    <w:rsid w:val="00A5387D"/>
    <w:rsid w:val="00A53910"/>
    <w:rsid w:val="00A53C22"/>
    <w:rsid w:val="00A54748"/>
    <w:rsid w:val="00A549A6"/>
    <w:rsid w:val="00A54B09"/>
    <w:rsid w:val="00A54F0B"/>
    <w:rsid w:val="00A55A95"/>
    <w:rsid w:val="00A567C6"/>
    <w:rsid w:val="00A56BB6"/>
    <w:rsid w:val="00A56CEE"/>
    <w:rsid w:val="00A57BB9"/>
    <w:rsid w:val="00A57BFE"/>
    <w:rsid w:val="00A57D2B"/>
    <w:rsid w:val="00A60867"/>
    <w:rsid w:val="00A60B04"/>
    <w:rsid w:val="00A61794"/>
    <w:rsid w:val="00A61CEB"/>
    <w:rsid w:val="00A62072"/>
    <w:rsid w:val="00A6281F"/>
    <w:rsid w:val="00A62D2E"/>
    <w:rsid w:val="00A63360"/>
    <w:rsid w:val="00A636FE"/>
    <w:rsid w:val="00A63B32"/>
    <w:rsid w:val="00A6732D"/>
    <w:rsid w:val="00A674BC"/>
    <w:rsid w:val="00A714AB"/>
    <w:rsid w:val="00A722C1"/>
    <w:rsid w:val="00A7259E"/>
    <w:rsid w:val="00A72814"/>
    <w:rsid w:val="00A72FB8"/>
    <w:rsid w:val="00A734CE"/>
    <w:rsid w:val="00A73637"/>
    <w:rsid w:val="00A73D97"/>
    <w:rsid w:val="00A75A86"/>
    <w:rsid w:val="00A76170"/>
    <w:rsid w:val="00A762EA"/>
    <w:rsid w:val="00A778A7"/>
    <w:rsid w:val="00A77A04"/>
    <w:rsid w:val="00A77AAF"/>
    <w:rsid w:val="00A77ADF"/>
    <w:rsid w:val="00A77DAE"/>
    <w:rsid w:val="00A803FC"/>
    <w:rsid w:val="00A806B7"/>
    <w:rsid w:val="00A809D7"/>
    <w:rsid w:val="00A80B90"/>
    <w:rsid w:val="00A82CA5"/>
    <w:rsid w:val="00A8384D"/>
    <w:rsid w:val="00A84189"/>
    <w:rsid w:val="00A8473A"/>
    <w:rsid w:val="00A86AE2"/>
    <w:rsid w:val="00A86D8B"/>
    <w:rsid w:val="00A879D0"/>
    <w:rsid w:val="00A90074"/>
    <w:rsid w:val="00A903E0"/>
    <w:rsid w:val="00A9059F"/>
    <w:rsid w:val="00A90D7B"/>
    <w:rsid w:val="00A9107A"/>
    <w:rsid w:val="00A91BEE"/>
    <w:rsid w:val="00A927A7"/>
    <w:rsid w:val="00A9297F"/>
    <w:rsid w:val="00A929BC"/>
    <w:rsid w:val="00A929CB"/>
    <w:rsid w:val="00A92BDE"/>
    <w:rsid w:val="00A93576"/>
    <w:rsid w:val="00A9435D"/>
    <w:rsid w:val="00A94469"/>
    <w:rsid w:val="00A9461D"/>
    <w:rsid w:val="00A94DDF"/>
    <w:rsid w:val="00A958B5"/>
    <w:rsid w:val="00A95BBE"/>
    <w:rsid w:val="00A96189"/>
    <w:rsid w:val="00A974BC"/>
    <w:rsid w:val="00A97958"/>
    <w:rsid w:val="00A97F69"/>
    <w:rsid w:val="00AA04BB"/>
    <w:rsid w:val="00AA08BC"/>
    <w:rsid w:val="00AA08CA"/>
    <w:rsid w:val="00AA091E"/>
    <w:rsid w:val="00AA1067"/>
    <w:rsid w:val="00AA18D3"/>
    <w:rsid w:val="00AA1D04"/>
    <w:rsid w:val="00AA2189"/>
    <w:rsid w:val="00AA2725"/>
    <w:rsid w:val="00AA306E"/>
    <w:rsid w:val="00AA3127"/>
    <w:rsid w:val="00AA5496"/>
    <w:rsid w:val="00AA5A3F"/>
    <w:rsid w:val="00AA6DF4"/>
    <w:rsid w:val="00AA772D"/>
    <w:rsid w:val="00AA7E9C"/>
    <w:rsid w:val="00AB0930"/>
    <w:rsid w:val="00AB0D7D"/>
    <w:rsid w:val="00AB18CA"/>
    <w:rsid w:val="00AB1D80"/>
    <w:rsid w:val="00AB1E12"/>
    <w:rsid w:val="00AB21BE"/>
    <w:rsid w:val="00AB227E"/>
    <w:rsid w:val="00AB2893"/>
    <w:rsid w:val="00AB2E70"/>
    <w:rsid w:val="00AB3116"/>
    <w:rsid w:val="00AB3C68"/>
    <w:rsid w:val="00AB43FD"/>
    <w:rsid w:val="00AB4BE6"/>
    <w:rsid w:val="00AB607D"/>
    <w:rsid w:val="00AB618C"/>
    <w:rsid w:val="00AB66E5"/>
    <w:rsid w:val="00AB6CA4"/>
    <w:rsid w:val="00AB73B0"/>
    <w:rsid w:val="00AB763D"/>
    <w:rsid w:val="00AB77AF"/>
    <w:rsid w:val="00AC0D67"/>
    <w:rsid w:val="00AC0F1E"/>
    <w:rsid w:val="00AC1824"/>
    <w:rsid w:val="00AC1EBF"/>
    <w:rsid w:val="00AC2178"/>
    <w:rsid w:val="00AC2960"/>
    <w:rsid w:val="00AC2B42"/>
    <w:rsid w:val="00AC3585"/>
    <w:rsid w:val="00AC397F"/>
    <w:rsid w:val="00AC4042"/>
    <w:rsid w:val="00AC46DF"/>
    <w:rsid w:val="00AC4985"/>
    <w:rsid w:val="00AC4F1B"/>
    <w:rsid w:val="00AC59DE"/>
    <w:rsid w:val="00AC5DDF"/>
    <w:rsid w:val="00AC5F57"/>
    <w:rsid w:val="00AC5F8E"/>
    <w:rsid w:val="00AC6622"/>
    <w:rsid w:val="00AC724A"/>
    <w:rsid w:val="00AC77F9"/>
    <w:rsid w:val="00AC7B44"/>
    <w:rsid w:val="00AC7FE4"/>
    <w:rsid w:val="00AD0272"/>
    <w:rsid w:val="00AD0280"/>
    <w:rsid w:val="00AD0478"/>
    <w:rsid w:val="00AD049B"/>
    <w:rsid w:val="00AD093B"/>
    <w:rsid w:val="00AD0C2C"/>
    <w:rsid w:val="00AD3288"/>
    <w:rsid w:val="00AD3A59"/>
    <w:rsid w:val="00AD45EB"/>
    <w:rsid w:val="00AD4BFC"/>
    <w:rsid w:val="00AD4C24"/>
    <w:rsid w:val="00AD55B7"/>
    <w:rsid w:val="00AD5E51"/>
    <w:rsid w:val="00AD64D0"/>
    <w:rsid w:val="00AD6658"/>
    <w:rsid w:val="00AD6780"/>
    <w:rsid w:val="00AD6A0F"/>
    <w:rsid w:val="00AD72CC"/>
    <w:rsid w:val="00AD789C"/>
    <w:rsid w:val="00AD78C0"/>
    <w:rsid w:val="00AD7BF6"/>
    <w:rsid w:val="00AE0196"/>
    <w:rsid w:val="00AE09E6"/>
    <w:rsid w:val="00AE11B1"/>
    <w:rsid w:val="00AE2B57"/>
    <w:rsid w:val="00AE2DB9"/>
    <w:rsid w:val="00AE2F5D"/>
    <w:rsid w:val="00AE3D63"/>
    <w:rsid w:val="00AE4073"/>
    <w:rsid w:val="00AE4600"/>
    <w:rsid w:val="00AE5596"/>
    <w:rsid w:val="00AE57B9"/>
    <w:rsid w:val="00AE60AF"/>
    <w:rsid w:val="00AE669E"/>
    <w:rsid w:val="00AE6B5B"/>
    <w:rsid w:val="00AE78D1"/>
    <w:rsid w:val="00AF016C"/>
    <w:rsid w:val="00AF0823"/>
    <w:rsid w:val="00AF1ED5"/>
    <w:rsid w:val="00AF20D2"/>
    <w:rsid w:val="00AF2340"/>
    <w:rsid w:val="00AF2E20"/>
    <w:rsid w:val="00AF2E2D"/>
    <w:rsid w:val="00AF2F58"/>
    <w:rsid w:val="00AF32F5"/>
    <w:rsid w:val="00AF3FAD"/>
    <w:rsid w:val="00AF44AF"/>
    <w:rsid w:val="00AF44D9"/>
    <w:rsid w:val="00AF4931"/>
    <w:rsid w:val="00AF4992"/>
    <w:rsid w:val="00AF5285"/>
    <w:rsid w:val="00AF578B"/>
    <w:rsid w:val="00AF5EC2"/>
    <w:rsid w:val="00AF611A"/>
    <w:rsid w:val="00AF69DE"/>
    <w:rsid w:val="00AF7899"/>
    <w:rsid w:val="00AF7EAE"/>
    <w:rsid w:val="00B00335"/>
    <w:rsid w:val="00B00CB8"/>
    <w:rsid w:val="00B01D68"/>
    <w:rsid w:val="00B03643"/>
    <w:rsid w:val="00B03EC3"/>
    <w:rsid w:val="00B046EA"/>
    <w:rsid w:val="00B050F3"/>
    <w:rsid w:val="00B05D86"/>
    <w:rsid w:val="00B05DDB"/>
    <w:rsid w:val="00B067E4"/>
    <w:rsid w:val="00B06AE9"/>
    <w:rsid w:val="00B075F2"/>
    <w:rsid w:val="00B10408"/>
    <w:rsid w:val="00B109AF"/>
    <w:rsid w:val="00B10DC2"/>
    <w:rsid w:val="00B12268"/>
    <w:rsid w:val="00B144B1"/>
    <w:rsid w:val="00B14B06"/>
    <w:rsid w:val="00B14FCC"/>
    <w:rsid w:val="00B154AD"/>
    <w:rsid w:val="00B1618D"/>
    <w:rsid w:val="00B16761"/>
    <w:rsid w:val="00B167AF"/>
    <w:rsid w:val="00B167D6"/>
    <w:rsid w:val="00B1707A"/>
    <w:rsid w:val="00B17623"/>
    <w:rsid w:val="00B176CD"/>
    <w:rsid w:val="00B179E7"/>
    <w:rsid w:val="00B17E5A"/>
    <w:rsid w:val="00B2077C"/>
    <w:rsid w:val="00B2082F"/>
    <w:rsid w:val="00B20B1D"/>
    <w:rsid w:val="00B20CE3"/>
    <w:rsid w:val="00B21561"/>
    <w:rsid w:val="00B21A36"/>
    <w:rsid w:val="00B21BE7"/>
    <w:rsid w:val="00B22286"/>
    <w:rsid w:val="00B226F6"/>
    <w:rsid w:val="00B22B9B"/>
    <w:rsid w:val="00B22C7D"/>
    <w:rsid w:val="00B22FBF"/>
    <w:rsid w:val="00B23659"/>
    <w:rsid w:val="00B2402E"/>
    <w:rsid w:val="00B24343"/>
    <w:rsid w:val="00B2478F"/>
    <w:rsid w:val="00B24DB0"/>
    <w:rsid w:val="00B254D8"/>
    <w:rsid w:val="00B26520"/>
    <w:rsid w:val="00B268B7"/>
    <w:rsid w:val="00B26F17"/>
    <w:rsid w:val="00B3033E"/>
    <w:rsid w:val="00B30AEB"/>
    <w:rsid w:val="00B322ED"/>
    <w:rsid w:val="00B32425"/>
    <w:rsid w:val="00B329D9"/>
    <w:rsid w:val="00B3308A"/>
    <w:rsid w:val="00B330FE"/>
    <w:rsid w:val="00B33415"/>
    <w:rsid w:val="00B33A16"/>
    <w:rsid w:val="00B33CBD"/>
    <w:rsid w:val="00B3423E"/>
    <w:rsid w:val="00B34EC1"/>
    <w:rsid w:val="00B3566C"/>
    <w:rsid w:val="00B357B9"/>
    <w:rsid w:val="00B35DF1"/>
    <w:rsid w:val="00B36A7A"/>
    <w:rsid w:val="00B37846"/>
    <w:rsid w:val="00B407A3"/>
    <w:rsid w:val="00B41169"/>
    <w:rsid w:val="00B414EB"/>
    <w:rsid w:val="00B41C30"/>
    <w:rsid w:val="00B42A55"/>
    <w:rsid w:val="00B42D8A"/>
    <w:rsid w:val="00B43252"/>
    <w:rsid w:val="00B43295"/>
    <w:rsid w:val="00B440AB"/>
    <w:rsid w:val="00B4486C"/>
    <w:rsid w:val="00B44EFF"/>
    <w:rsid w:val="00B45154"/>
    <w:rsid w:val="00B4627B"/>
    <w:rsid w:val="00B466C7"/>
    <w:rsid w:val="00B46713"/>
    <w:rsid w:val="00B471DE"/>
    <w:rsid w:val="00B4778B"/>
    <w:rsid w:val="00B47EAF"/>
    <w:rsid w:val="00B5017E"/>
    <w:rsid w:val="00B5038B"/>
    <w:rsid w:val="00B50FFF"/>
    <w:rsid w:val="00B525F8"/>
    <w:rsid w:val="00B53815"/>
    <w:rsid w:val="00B54340"/>
    <w:rsid w:val="00B5438B"/>
    <w:rsid w:val="00B54640"/>
    <w:rsid w:val="00B55F71"/>
    <w:rsid w:val="00B56056"/>
    <w:rsid w:val="00B57477"/>
    <w:rsid w:val="00B57A79"/>
    <w:rsid w:val="00B57BD9"/>
    <w:rsid w:val="00B57C1E"/>
    <w:rsid w:val="00B61118"/>
    <w:rsid w:val="00B61B28"/>
    <w:rsid w:val="00B61DEC"/>
    <w:rsid w:val="00B62175"/>
    <w:rsid w:val="00B624FA"/>
    <w:rsid w:val="00B626B7"/>
    <w:rsid w:val="00B628D1"/>
    <w:rsid w:val="00B62A49"/>
    <w:rsid w:val="00B63D21"/>
    <w:rsid w:val="00B644AF"/>
    <w:rsid w:val="00B64A89"/>
    <w:rsid w:val="00B64E10"/>
    <w:rsid w:val="00B65517"/>
    <w:rsid w:val="00B65659"/>
    <w:rsid w:val="00B676E7"/>
    <w:rsid w:val="00B6790F"/>
    <w:rsid w:val="00B67B53"/>
    <w:rsid w:val="00B67F29"/>
    <w:rsid w:val="00B717AA"/>
    <w:rsid w:val="00B71BAD"/>
    <w:rsid w:val="00B725BC"/>
    <w:rsid w:val="00B725E0"/>
    <w:rsid w:val="00B7270E"/>
    <w:rsid w:val="00B7274F"/>
    <w:rsid w:val="00B73875"/>
    <w:rsid w:val="00B73879"/>
    <w:rsid w:val="00B73D74"/>
    <w:rsid w:val="00B73DD7"/>
    <w:rsid w:val="00B73E80"/>
    <w:rsid w:val="00B73ED1"/>
    <w:rsid w:val="00B74093"/>
    <w:rsid w:val="00B746AE"/>
    <w:rsid w:val="00B74DD7"/>
    <w:rsid w:val="00B75864"/>
    <w:rsid w:val="00B758CA"/>
    <w:rsid w:val="00B761A5"/>
    <w:rsid w:val="00B7674C"/>
    <w:rsid w:val="00B772F3"/>
    <w:rsid w:val="00B775A0"/>
    <w:rsid w:val="00B7785D"/>
    <w:rsid w:val="00B77C2B"/>
    <w:rsid w:val="00B804BF"/>
    <w:rsid w:val="00B8062F"/>
    <w:rsid w:val="00B8069B"/>
    <w:rsid w:val="00B80813"/>
    <w:rsid w:val="00B80FF7"/>
    <w:rsid w:val="00B813AB"/>
    <w:rsid w:val="00B83D4D"/>
    <w:rsid w:val="00B83FCF"/>
    <w:rsid w:val="00B84664"/>
    <w:rsid w:val="00B84729"/>
    <w:rsid w:val="00B8537F"/>
    <w:rsid w:val="00B85CE5"/>
    <w:rsid w:val="00B85E16"/>
    <w:rsid w:val="00B863BA"/>
    <w:rsid w:val="00B8729E"/>
    <w:rsid w:val="00B8781C"/>
    <w:rsid w:val="00B87B40"/>
    <w:rsid w:val="00B87ED2"/>
    <w:rsid w:val="00B90174"/>
    <w:rsid w:val="00B90D36"/>
    <w:rsid w:val="00B912A1"/>
    <w:rsid w:val="00B91827"/>
    <w:rsid w:val="00B91830"/>
    <w:rsid w:val="00B91BE6"/>
    <w:rsid w:val="00B921AA"/>
    <w:rsid w:val="00B92E72"/>
    <w:rsid w:val="00B93292"/>
    <w:rsid w:val="00B93BE9"/>
    <w:rsid w:val="00B9430B"/>
    <w:rsid w:val="00B943E5"/>
    <w:rsid w:val="00B95212"/>
    <w:rsid w:val="00B95608"/>
    <w:rsid w:val="00B967A8"/>
    <w:rsid w:val="00B96922"/>
    <w:rsid w:val="00B969E2"/>
    <w:rsid w:val="00B97E22"/>
    <w:rsid w:val="00BA03D9"/>
    <w:rsid w:val="00BA120F"/>
    <w:rsid w:val="00BA1A86"/>
    <w:rsid w:val="00BA1D83"/>
    <w:rsid w:val="00BA294C"/>
    <w:rsid w:val="00BA2A27"/>
    <w:rsid w:val="00BA2AE4"/>
    <w:rsid w:val="00BA4BFD"/>
    <w:rsid w:val="00BA54B0"/>
    <w:rsid w:val="00BA58DA"/>
    <w:rsid w:val="00BA5950"/>
    <w:rsid w:val="00BA678F"/>
    <w:rsid w:val="00BA6B0B"/>
    <w:rsid w:val="00BB0742"/>
    <w:rsid w:val="00BB0781"/>
    <w:rsid w:val="00BB0DEB"/>
    <w:rsid w:val="00BB1AB6"/>
    <w:rsid w:val="00BB1B82"/>
    <w:rsid w:val="00BB2C7A"/>
    <w:rsid w:val="00BB36B1"/>
    <w:rsid w:val="00BB39C2"/>
    <w:rsid w:val="00BB3E28"/>
    <w:rsid w:val="00BB4184"/>
    <w:rsid w:val="00BB444C"/>
    <w:rsid w:val="00BB44EB"/>
    <w:rsid w:val="00BB47F9"/>
    <w:rsid w:val="00BB4904"/>
    <w:rsid w:val="00BB4AE8"/>
    <w:rsid w:val="00BB4F4D"/>
    <w:rsid w:val="00BB5197"/>
    <w:rsid w:val="00BB51B8"/>
    <w:rsid w:val="00BB5447"/>
    <w:rsid w:val="00BB56DD"/>
    <w:rsid w:val="00BB60C8"/>
    <w:rsid w:val="00BB621B"/>
    <w:rsid w:val="00BB6673"/>
    <w:rsid w:val="00BB66E6"/>
    <w:rsid w:val="00BB6A5C"/>
    <w:rsid w:val="00BB6C69"/>
    <w:rsid w:val="00BB6DF2"/>
    <w:rsid w:val="00BB7BA8"/>
    <w:rsid w:val="00BB7DBC"/>
    <w:rsid w:val="00BB7E57"/>
    <w:rsid w:val="00BC0322"/>
    <w:rsid w:val="00BC066C"/>
    <w:rsid w:val="00BC0A9C"/>
    <w:rsid w:val="00BC1718"/>
    <w:rsid w:val="00BC1A1E"/>
    <w:rsid w:val="00BC1A6A"/>
    <w:rsid w:val="00BC21FD"/>
    <w:rsid w:val="00BC29BA"/>
    <w:rsid w:val="00BC2A76"/>
    <w:rsid w:val="00BC39DB"/>
    <w:rsid w:val="00BC4185"/>
    <w:rsid w:val="00BC493F"/>
    <w:rsid w:val="00BC4B92"/>
    <w:rsid w:val="00BC4F70"/>
    <w:rsid w:val="00BC4FC9"/>
    <w:rsid w:val="00BC508A"/>
    <w:rsid w:val="00BC576D"/>
    <w:rsid w:val="00BC642D"/>
    <w:rsid w:val="00BC649A"/>
    <w:rsid w:val="00BC7550"/>
    <w:rsid w:val="00BC7BD3"/>
    <w:rsid w:val="00BD04AA"/>
    <w:rsid w:val="00BD0DC6"/>
    <w:rsid w:val="00BD14E6"/>
    <w:rsid w:val="00BD2F84"/>
    <w:rsid w:val="00BD31B6"/>
    <w:rsid w:val="00BD350F"/>
    <w:rsid w:val="00BD3A6E"/>
    <w:rsid w:val="00BD3CFF"/>
    <w:rsid w:val="00BD4683"/>
    <w:rsid w:val="00BD48CA"/>
    <w:rsid w:val="00BD4B43"/>
    <w:rsid w:val="00BD56E9"/>
    <w:rsid w:val="00BD6B15"/>
    <w:rsid w:val="00BD6CBE"/>
    <w:rsid w:val="00BD6E31"/>
    <w:rsid w:val="00BD6F61"/>
    <w:rsid w:val="00BD7676"/>
    <w:rsid w:val="00BD7C31"/>
    <w:rsid w:val="00BE0E3E"/>
    <w:rsid w:val="00BE2626"/>
    <w:rsid w:val="00BE2A51"/>
    <w:rsid w:val="00BE2B31"/>
    <w:rsid w:val="00BE36F9"/>
    <w:rsid w:val="00BE407D"/>
    <w:rsid w:val="00BE42B8"/>
    <w:rsid w:val="00BE4C1A"/>
    <w:rsid w:val="00BE58BA"/>
    <w:rsid w:val="00BE5EBD"/>
    <w:rsid w:val="00BE5FC4"/>
    <w:rsid w:val="00BE65E3"/>
    <w:rsid w:val="00BE6850"/>
    <w:rsid w:val="00BE6F08"/>
    <w:rsid w:val="00BF0384"/>
    <w:rsid w:val="00BF0BD7"/>
    <w:rsid w:val="00BF117C"/>
    <w:rsid w:val="00BF225D"/>
    <w:rsid w:val="00BF25A7"/>
    <w:rsid w:val="00BF2D13"/>
    <w:rsid w:val="00BF349D"/>
    <w:rsid w:val="00BF3752"/>
    <w:rsid w:val="00BF418C"/>
    <w:rsid w:val="00BF4ECC"/>
    <w:rsid w:val="00BF516E"/>
    <w:rsid w:val="00BF52D7"/>
    <w:rsid w:val="00BF6668"/>
    <w:rsid w:val="00BF790A"/>
    <w:rsid w:val="00C007D1"/>
    <w:rsid w:val="00C00A8A"/>
    <w:rsid w:val="00C010D5"/>
    <w:rsid w:val="00C01470"/>
    <w:rsid w:val="00C020BE"/>
    <w:rsid w:val="00C0218F"/>
    <w:rsid w:val="00C035CD"/>
    <w:rsid w:val="00C0375E"/>
    <w:rsid w:val="00C04218"/>
    <w:rsid w:val="00C04374"/>
    <w:rsid w:val="00C043CE"/>
    <w:rsid w:val="00C045C8"/>
    <w:rsid w:val="00C04600"/>
    <w:rsid w:val="00C046C4"/>
    <w:rsid w:val="00C0556D"/>
    <w:rsid w:val="00C0567F"/>
    <w:rsid w:val="00C06252"/>
    <w:rsid w:val="00C06B5D"/>
    <w:rsid w:val="00C06F7B"/>
    <w:rsid w:val="00C06FA3"/>
    <w:rsid w:val="00C11BBE"/>
    <w:rsid w:val="00C12343"/>
    <w:rsid w:val="00C12CD1"/>
    <w:rsid w:val="00C131F7"/>
    <w:rsid w:val="00C13312"/>
    <w:rsid w:val="00C13849"/>
    <w:rsid w:val="00C1408E"/>
    <w:rsid w:val="00C1465D"/>
    <w:rsid w:val="00C155BA"/>
    <w:rsid w:val="00C1704C"/>
    <w:rsid w:val="00C17654"/>
    <w:rsid w:val="00C17831"/>
    <w:rsid w:val="00C17CA9"/>
    <w:rsid w:val="00C208A4"/>
    <w:rsid w:val="00C20A8D"/>
    <w:rsid w:val="00C20C18"/>
    <w:rsid w:val="00C20C5C"/>
    <w:rsid w:val="00C20E88"/>
    <w:rsid w:val="00C210C9"/>
    <w:rsid w:val="00C2190F"/>
    <w:rsid w:val="00C221A2"/>
    <w:rsid w:val="00C23458"/>
    <w:rsid w:val="00C2348D"/>
    <w:rsid w:val="00C235AA"/>
    <w:rsid w:val="00C23BE6"/>
    <w:rsid w:val="00C24B3F"/>
    <w:rsid w:val="00C24E45"/>
    <w:rsid w:val="00C250C8"/>
    <w:rsid w:val="00C26071"/>
    <w:rsid w:val="00C2741A"/>
    <w:rsid w:val="00C27609"/>
    <w:rsid w:val="00C30447"/>
    <w:rsid w:val="00C306CB"/>
    <w:rsid w:val="00C31747"/>
    <w:rsid w:val="00C31E50"/>
    <w:rsid w:val="00C31FD3"/>
    <w:rsid w:val="00C32552"/>
    <w:rsid w:val="00C333EA"/>
    <w:rsid w:val="00C33567"/>
    <w:rsid w:val="00C336AB"/>
    <w:rsid w:val="00C34B0E"/>
    <w:rsid w:val="00C3522E"/>
    <w:rsid w:val="00C35FEA"/>
    <w:rsid w:val="00C36792"/>
    <w:rsid w:val="00C375F9"/>
    <w:rsid w:val="00C37FB9"/>
    <w:rsid w:val="00C40461"/>
    <w:rsid w:val="00C40791"/>
    <w:rsid w:val="00C41C62"/>
    <w:rsid w:val="00C41C88"/>
    <w:rsid w:val="00C4236E"/>
    <w:rsid w:val="00C42B28"/>
    <w:rsid w:val="00C42C03"/>
    <w:rsid w:val="00C4313C"/>
    <w:rsid w:val="00C439B4"/>
    <w:rsid w:val="00C43A3A"/>
    <w:rsid w:val="00C44BA6"/>
    <w:rsid w:val="00C45005"/>
    <w:rsid w:val="00C45447"/>
    <w:rsid w:val="00C45BA0"/>
    <w:rsid w:val="00C45EF2"/>
    <w:rsid w:val="00C4620F"/>
    <w:rsid w:val="00C46773"/>
    <w:rsid w:val="00C473DF"/>
    <w:rsid w:val="00C478DF"/>
    <w:rsid w:val="00C47A0C"/>
    <w:rsid w:val="00C47CC6"/>
    <w:rsid w:val="00C47CEE"/>
    <w:rsid w:val="00C5032F"/>
    <w:rsid w:val="00C505F4"/>
    <w:rsid w:val="00C509C9"/>
    <w:rsid w:val="00C511D9"/>
    <w:rsid w:val="00C52D5E"/>
    <w:rsid w:val="00C52EB6"/>
    <w:rsid w:val="00C5340C"/>
    <w:rsid w:val="00C5356E"/>
    <w:rsid w:val="00C53702"/>
    <w:rsid w:val="00C53F05"/>
    <w:rsid w:val="00C54278"/>
    <w:rsid w:val="00C54AF9"/>
    <w:rsid w:val="00C55A37"/>
    <w:rsid w:val="00C563C2"/>
    <w:rsid w:val="00C57E94"/>
    <w:rsid w:val="00C60215"/>
    <w:rsid w:val="00C60C13"/>
    <w:rsid w:val="00C60CFA"/>
    <w:rsid w:val="00C6144C"/>
    <w:rsid w:val="00C628DF"/>
    <w:rsid w:val="00C6350E"/>
    <w:rsid w:val="00C6393B"/>
    <w:rsid w:val="00C6394D"/>
    <w:rsid w:val="00C63E2D"/>
    <w:rsid w:val="00C64C61"/>
    <w:rsid w:val="00C651A8"/>
    <w:rsid w:val="00C6535D"/>
    <w:rsid w:val="00C6561A"/>
    <w:rsid w:val="00C658B6"/>
    <w:rsid w:val="00C6661E"/>
    <w:rsid w:val="00C71306"/>
    <w:rsid w:val="00C716C7"/>
    <w:rsid w:val="00C7296F"/>
    <w:rsid w:val="00C72EAD"/>
    <w:rsid w:val="00C7332B"/>
    <w:rsid w:val="00C73440"/>
    <w:rsid w:val="00C73590"/>
    <w:rsid w:val="00C73B1C"/>
    <w:rsid w:val="00C74163"/>
    <w:rsid w:val="00C746DE"/>
    <w:rsid w:val="00C74985"/>
    <w:rsid w:val="00C75224"/>
    <w:rsid w:val="00C75381"/>
    <w:rsid w:val="00C75393"/>
    <w:rsid w:val="00C75788"/>
    <w:rsid w:val="00C7593B"/>
    <w:rsid w:val="00C75969"/>
    <w:rsid w:val="00C76437"/>
    <w:rsid w:val="00C76CE8"/>
    <w:rsid w:val="00C7708D"/>
    <w:rsid w:val="00C77B3D"/>
    <w:rsid w:val="00C77E41"/>
    <w:rsid w:val="00C80BDD"/>
    <w:rsid w:val="00C8190C"/>
    <w:rsid w:val="00C81917"/>
    <w:rsid w:val="00C822DC"/>
    <w:rsid w:val="00C8254F"/>
    <w:rsid w:val="00C82B23"/>
    <w:rsid w:val="00C82E4C"/>
    <w:rsid w:val="00C82F7B"/>
    <w:rsid w:val="00C832F9"/>
    <w:rsid w:val="00C83A51"/>
    <w:rsid w:val="00C845A1"/>
    <w:rsid w:val="00C847CE"/>
    <w:rsid w:val="00C871EF"/>
    <w:rsid w:val="00C87854"/>
    <w:rsid w:val="00C87D2F"/>
    <w:rsid w:val="00C90B2D"/>
    <w:rsid w:val="00C91CBE"/>
    <w:rsid w:val="00C91E6C"/>
    <w:rsid w:val="00C91F7A"/>
    <w:rsid w:val="00C91FC6"/>
    <w:rsid w:val="00C9242E"/>
    <w:rsid w:val="00C92BE0"/>
    <w:rsid w:val="00C92E9E"/>
    <w:rsid w:val="00C931C1"/>
    <w:rsid w:val="00C9387D"/>
    <w:rsid w:val="00C93B51"/>
    <w:rsid w:val="00C95541"/>
    <w:rsid w:val="00C95884"/>
    <w:rsid w:val="00C95A40"/>
    <w:rsid w:val="00C95A76"/>
    <w:rsid w:val="00C95F8B"/>
    <w:rsid w:val="00C9650B"/>
    <w:rsid w:val="00C9695D"/>
    <w:rsid w:val="00C97C47"/>
    <w:rsid w:val="00C97CCD"/>
    <w:rsid w:val="00C97CD4"/>
    <w:rsid w:val="00CA0DF5"/>
    <w:rsid w:val="00CA2FFA"/>
    <w:rsid w:val="00CA3246"/>
    <w:rsid w:val="00CA402B"/>
    <w:rsid w:val="00CA42BC"/>
    <w:rsid w:val="00CA47FC"/>
    <w:rsid w:val="00CA4CB3"/>
    <w:rsid w:val="00CA4E24"/>
    <w:rsid w:val="00CA5886"/>
    <w:rsid w:val="00CA58BA"/>
    <w:rsid w:val="00CA6596"/>
    <w:rsid w:val="00CA6970"/>
    <w:rsid w:val="00CA69E0"/>
    <w:rsid w:val="00CA75B2"/>
    <w:rsid w:val="00CA7CE6"/>
    <w:rsid w:val="00CB182C"/>
    <w:rsid w:val="00CB1A68"/>
    <w:rsid w:val="00CB1C75"/>
    <w:rsid w:val="00CB1D44"/>
    <w:rsid w:val="00CB1D83"/>
    <w:rsid w:val="00CB2930"/>
    <w:rsid w:val="00CB2A0E"/>
    <w:rsid w:val="00CB3260"/>
    <w:rsid w:val="00CB3BED"/>
    <w:rsid w:val="00CB3C6A"/>
    <w:rsid w:val="00CB485D"/>
    <w:rsid w:val="00CB498B"/>
    <w:rsid w:val="00CB4AB0"/>
    <w:rsid w:val="00CB4AC0"/>
    <w:rsid w:val="00CB58A1"/>
    <w:rsid w:val="00CB595B"/>
    <w:rsid w:val="00CB5C0E"/>
    <w:rsid w:val="00CB64C2"/>
    <w:rsid w:val="00CB6AB0"/>
    <w:rsid w:val="00CB70E9"/>
    <w:rsid w:val="00CB752E"/>
    <w:rsid w:val="00CC0822"/>
    <w:rsid w:val="00CC0918"/>
    <w:rsid w:val="00CC0BA4"/>
    <w:rsid w:val="00CC1C85"/>
    <w:rsid w:val="00CC1EBF"/>
    <w:rsid w:val="00CC265B"/>
    <w:rsid w:val="00CC2898"/>
    <w:rsid w:val="00CC384E"/>
    <w:rsid w:val="00CC3B09"/>
    <w:rsid w:val="00CC3CAD"/>
    <w:rsid w:val="00CC3F06"/>
    <w:rsid w:val="00CC3F3C"/>
    <w:rsid w:val="00CC4108"/>
    <w:rsid w:val="00CC458B"/>
    <w:rsid w:val="00CC468F"/>
    <w:rsid w:val="00CC4739"/>
    <w:rsid w:val="00CC47EE"/>
    <w:rsid w:val="00CC4D61"/>
    <w:rsid w:val="00CC5913"/>
    <w:rsid w:val="00CC5F84"/>
    <w:rsid w:val="00CC73F0"/>
    <w:rsid w:val="00CC7CBC"/>
    <w:rsid w:val="00CD0B39"/>
    <w:rsid w:val="00CD0DDD"/>
    <w:rsid w:val="00CD0FD7"/>
    <w:rsid w:val="00CD0FE2"/>
    <w:rsid w:val="00CD10F2"/>
    <w:rsid w:val="00CD1394"/>
    <w:rsid w:val="00CD1438"/>
    <w:rsid w:val="00CD2BED"/>
    <w:rsid w:val="00CD2FA6"/>
    <w:rsid w:val="00CD36DC"/>
    <w:rsid w:val="00CD39BC"/>
    <w:rsid w:val="00CD594B"/>
    <w:rsid w:val="00CD6AF1"/>
    <w:rsid w:val="00CD77FD"/>
    <w:rsid w:val="00CD7D20"/>
    <w:rsid w:val="00CE18A2"/>
    <w:rsid w:val="00CE1E87"/>
    <w:rsid w:val="00CE2769"/>
    <w:rsid w:val="00CE360C"/>
    <w:rsid w:val="00CE45A1"/>
    <w:rsid w:val="00CE4B28"/>
    <w:rsid w:val="00CE605F"/>
    <w:rsid w:val="00CE6A35"/>
    <w:rsid w:val="00CE6BA9"/>
    <w:rsid w:val="00CE6DF2"/>
    <w:rsid w:val="00CE6F8D"/>
    <w:rsid w:val="00CE749D"/>
    <w:rsid w:val="00CE7507"/>
    <w:rsid w:val="00CE7F90"/>
    <w:rsid w:val="00CE7FAE"/>
    <w:rsid w:val="00CF02A5"/>
    <w:rsid w:val="00CF0B23"/>
    <w:rsid w:val="00CF0BF8"/>
    <w:rsid w:val="00CF0DA9"/>
    <w:rsid w:val="00CF0EF4"/>
    <w:rsid w:val="00CF0FC8"/>
    <w:rsid w:val="00CF132E"/>
    <w:rsid w:val="00CF1362"/>
    <w:rsid w:val="00CF144B"/>
    <w:rsid w:val="00CF2AF9"/>
    <w:rsid w:val="00CF2BF4"/>
    <w:rsid w:val="00CF3A5D"/>
    <w:rsid w:val="00CF3A67"/>
    <w:rsid w:val="00CF3A7E"/>
    <w:rsid w:val="00CF401C"/>
    <w:rsid w:val="00CF4258"/>
    <w:rsid w:val="00CF4527"/>
    <w:rsid w:val="00CF5127"/>
    <w:rsid w:val="00CF5356"/>
    <w:rsid w:val="00CF53D8"/>
    <w:rsid w:val="00CF6FF8"/>
    <w:rsid w:val="00CF7103"/>
    <w:rsid w:val="00CF7124"/>
    <w:rsid w:val="00CF72A3"/>
    <w:rsid w:val="00CF73A9"/>
    <w:rsid w:val="00CF7C00"/>
    <w:rsid w:val="00CF7DB6"/>
    <w:rsid w:val="00D01E95"/>
    <w:rsid w:val="00D028FB"/>
    <w:rsid w:val="00D02E98"/>
    <w:rsid w:val="00D046A6"/>
    <w:rsid w:val="00D04F0F"/>
    <w:rsid w:val="00D05349"/>
    <w:rsid w:val="00D06B36"/>
    <w:rsid w:val="00D1026A"/>
    <w:rsid w:val="00D10276"/>
    <w:rsid w:val="00D10ADD"/>
    <w:rsid w:val="00D11138"/>
    <w:rsid w:val="00D11545"/>
    <w:rsid w:val="00D115F2"/>
    <w:rsid w:val="00D1229D"/>
    <w:rsid w:val="00D12749"/>
    <w:rsid w:val="00D12BE5"/>
    <w:rsid w:val="00D1321D"/>
    <w:rsid w:val="00D13C44"/>
    <w:rsid w:val="00D13E35"/>
    <w:rsid w:val="00D15480"/>
    <w:rsid w:val="00D158E7"/>
    <w:rsid w:val="00D15B73"/>
    <w:rsid w:val="00D15D02"/>
    <w:rsid w:val="00D15F65"/>
    <w:rsid w:val="00D16252"/>
    <w:rsid w:val="00D16545"/>
    <w:rsid w:val="00D16BA2"/>
    <w:rsid w:val="00D16F3E"/>
    <w:rsid w:val="00D1724B"/>
    <w:rsid w:val="00D17408"/>
    <w:rsid w:val="00D17531"/>
    <w:rsid w:val="00D20CC9"/>
    <w:rsid w:val="00D20D45"/>
    <w:rsid w:val="00D215A2"/>
    <w:rsid w:val="00D22FEF"/>
    <w:rsid w:val="00D23051"/>
    <w:rsid w:val="00D2328C"/>
    <w:rsid w:val="00D23E77"/>
    <w:rsid w:val="00D242BD"/>
    <w:rsid w:val="00D2442A"/>
    <w:rsid w:val="00D24E90"/>
    <w:rsid w:val="00D24F21"/>
    <w:rsid w:val="00D2505A"/>
    <w:rsid w:val="00D25ABC"/>
    <w:rsid w:val="00D26032"/>
    <w:rsid w:val="00D26A7D"/>
    <w:rsid w:val="00D26AB5"/>
    <w:rsid w:val="00D272A7"/>
    <w:rsid w:val="00D278F1"/>
    <w:rsid w:val="00D3018C"/>
    <w:rsid w:val="00D301BD"/>
    <w:rsid w:val="00D30370"/>
    <w:rsid w:val="00D309D9"/>
    <w:rsid w:val="00D310F2"/>
    <w:rsid w:val="00D3118C"/>
    <w:rsid w:val="00D31C9F"/>
    <w:rsid w:val="00D31D24"/>
    <w:rsid w:val="00D32BF0"/>
    <w:rsid w:val="00D3376E"/>
    <w:rsid w:val="00D33AC7"/>
    <w:rsid w:val="00D33E70"/>
    <w:rsid w:val="00D3440B"/>
    <w:rsid w:val="00D35006"/>
    <w:rsid w:val="00D35348"/>
    <w:rsid w:val="00D354DC"/>
    <w:rsid w:val="00D35A3A"/>
    <w:rsid w:val="00D3681E"/>
    <w:rsid w:val="00D378A4"/>
    <w:rsid w:val="00D37A82"/>
    <w:rsid w:val="00D425E0"/>
    <w:rsid w:val="00D4284A"/>
    <w:rsid w:val="00D4316D"/>
    <w:rsid w:val="00D43E01"/>
    <w:rsid w:val="00D43E07"/>
    <w:rsid w:val="00D44851"/>
    <w:rsid w:val="00D449B0"/>
    <w:rsid w:val="00D44C7E"/>
    <w:rsid w:val="00D450DB"/>
    <w:rsid w:val="00D4560B"/>
    <w:rsid w:val="00D45F9E"/>
    <w:rsid w:val="00D462A1"/>
    <w:rsid w:val="00D46B0E"/>
    <w:rsid w:val="00D47107"/>
    <w:rsid w:val="00D5202B"/>
    <w:rsid w:val="00D542ED"/>
    <w:rsid w:val="00D553E9"/>
    <w:rsid w:val="00D56C2F"/>
    <w:rsid w:val="00D60226"/>
    <w:rsid w:val="00D608C2"/>
    <w:rsid w:val="00D6120B"/>
    <w:rsid w:val="00D614FD"/>
    <w:rsid w:val="00D6193A"/>
    <w:rsid w:val="00D61FA4"/>
    <w:rsid w:val="00D62386"/>
    <w:rsid w:val="00D62758"/>
    <w:rsid w:val="00D63022"/>
    <w:rsid w:val="00D6313D"/>
    <w:rsid w:val="00D640E1"/>
    <w:rsid w:val="00D642E4"/>
    <w:rsid w:val="00D64BAF"/>
    <w:rsid w:val="00D6547C"/>
    <w:rsid w:val="00D65BA0"/>
    <w:rsid w:val="00D66437"/>
    <w:rsid w:val="00D70691"/>
    <w:rsid w:val="00D70E3D"/>
    <w:rsid w:val="00D70FE7"/>
    <w:rsid w:val="00D710AC"/>
    <w:rsid w:val="00D71263"/>
    <w:rsid w:val="00D7185A"/>
    <w:rsid w:val="00D71DA8"/>
    <w:rsid w:val="00D72243"/>
    <w:rsid w:val="00D73C7A"/>
    <w:rsid w:val="00D73EBD"/>
    <w:rsid w:val="00D74C04"/>
    <w:rsid w:val="00D74DC2"/>
    <w:rsid w:val="00D75BF4"/>
    <w:rsid w:val="00D7617A"/>
    <w:rsid w:val="00D76431"/>
    <w:rsid w:val="00D76513"/>
    <w:rsid w:val="00D76ABE"/>
    <w:rsid w:val="00D76C42"/>
    <w:rsid w:val="00D76DD2"/>
    <w:rsid w:val="00D7767C"/>
    <w:rsid w:val="00D776CB"/>
    <w:rsid w:val="00D801A6"/>
    <w:rsid w:val="00D80326"/>
    <w:rsid w:val="00D803CE"/>
    <w:rsid w:val="00D804D8"/>
    <w:rsid w:val="00D818A2"/>
    <w:rsid w:val="00D8196B"/>
    <w:rsid w:val="00D84E2D"/>
    <w:rsid w:val="00D851C1"/>
    <w:rsid w:val="00D8638E"/>
    <w:rsid w:val="00D86570"/>
    <w:rsid w:val="00D86878"/>
    <w:rsid w:val="00D868FF"/>
    <w:rsid w:val="00D9038A"/>
    <w:rsid w:val="00D90700"/>
    <w:rsid w:val="00D90E94"/>
    <w:rsid w:val="00D91213"/>
    <w:rsid w:val="00D9196E"/>
    <w:rsid w:val="00D91C23"/>
    <w:rsid w:val="00D935A1"/>
    <w:rsid w:val="00D949CE"/>
    <w:rsid w:val="00D95213"/>
    <w:rsid w:val="00D95882"/>
    <w:rsid w:val="00D966D5"/>
    <w:rsid w:val="00D96CDC"/>
    <w:rsid w:val="00D97BFA"/>
    <w:rsid w:val="00DA06DB"/>
    <w:rsid w:val="00DA0EF1"/>
    <w:rsid w:val="00DA1127"/>
    <w:rsid w:val="00DA132A"/>
    <w:rsid w:val="00DA1F91"/>
    <w:rsid w:val="00DA20A8"/>
    <w:rsid w:val="00DA35B2"/>
    <w:rsid w:val="00DA457E"/>
    <w:rsid w:val="00DA4869"/>
    <w:rsid w:val="00DA6568"/>
    <w:rsid w:val="00DA7956"/>
    <w:rsid w:val="00DB0EE5"/>
    <w:rsid w:val="00DB1662"/>
    <w:rsid w:val="00DB1D5E"/>
    <w:rsid w:val="00DB1EE0"/>
    <w:rsid w:val="00DB2EED"/>
    <w:rsid w:val="00DB31A7"/>
    <w:rsid w:val="00DB34DC"/>
    <w:rsid w:val="00DB3AA7"/>
    <w:rsid w:val="00DB43FD"/>
    <w:rsid w:val="00DB50BE"/>
    <w:rsid w:val="00DB5E35"/>
    <w:rsid w:val="00DB637D"/>
    <w:rsid w:val="00DB63E3"/>
    <w:rsid w:val="00DB682D"/>
    <w:rsid w:val="00DC029E"/>
    <w:rsid w:val="00DC081F"/>
    <w:rsid w:val="00DC1B45"/>
    <w:rsid w:val="00DC1EF1"/>
    <w:rsid w:val="00DC2801"/>
    <w:rsid w:val="00DC2C12"/>
    <w:rsid w:val="00DC2CFD"/>
    <w:rsid w:val="00DC394D"/>
    <w:rsid w:val="00DC3B0C"/>
    <w:rsid w:val="00DC3B7E"/>
    <w:rsid w:val="00DC4508"/>
    <w:rsid w:val="00DC4DB7"/>
    <w:rsid w:val="00DC5056"/>
    <w:rsid w:val="00DC59EC"/>
    <w:rsid w:val="00DC5F25"/>
    <w:rsid w:val="00DC6374"/>
    <w:rsid w:val="00DC7250"/>
    <w:rsid w:val="00DC7A52"/>
    <w:rsid w:val="00DD1537"/>
    <w:rsid w:val="00DD1857"/>
    <w:rsid w:val="00DD19BF"/>
    <w:rsid w:val="00DD1ACB"/>
    <w:rsid w:val="00DD2496"/>
    <w:rsid w:val="00DD2537"/>
    <w:rsid w:val="00DD4D2D"/>
    <w:rsid w:val="00DD51B6"/>
    <w:rsid w:val="00DD61FA"/>
    <w:rsid w:val="00DD774F"/>
    <w:rsid w:val="00DD7769"/>
    <w:rsid w:val="00DD7AB5"/>
    <w:rsid w:val="00DE132F"/>
    <w:rsid w:val="00DE1410"/>
    <w:rsid w:val="00DE15B5"/>
    <w:rsid w:val="00DE1F10"/>
    <w:rsid w:val="00DE273A"/>
    <w:rsid w:val="00DE34FC"/>
    <w:rsid w:val="00DE3B2F"/>
    <w:rsid w:val="00DE4870"/>
    <w:rsid w:val="00DE5015"/>
    <w:rsid w:val="00DE5228"/>
    <w:rsid w:val="00DE5569"/>
    <w:rsid w:val="00DE61F7"/>
    <w:rsid w:val="00DE630C"/>
    <w:rsid w:val="00DE639B"/>
    <w:rsid w:val="00DE7786"/>
    <w:rsid w:val="00DE7E7C"/>
    <w:rsid w:val="00DF010A"/>
    <w:rsid w:val="00DF01CE"/>
    <w:rsid w:val="00DF0746"/>
    <w:rsid w:val="00DF0A77"/>
    <w:rsid w:val="00DF0D65"/>
    <w:rsid w:val="00DF21A5"/>
    <w:rsid w:val="00DF35DF"/>
    <w:rsid w:val="00DF369B"/>
    <w:rsid w:val="00DF3C3E"/>
    <w:rsid w:val="00DF4AF3"/>
    <w:rsid w:val="00DF5052"/>
    <w:rsid w:val="00DF58ED"/>
    <w:rsid w:val="00DF5C79"/>
    <w:rsid w:val="00DF618C"/>
    <w:rsid w:val="00DF6FE3"/>
    <w:rsid w:val="00DF7914"/>
    <w:rsid w:val="00E00264"/>
    <w:rsid w:val="00E00570"/>
    <w:rsid w:val="00E009E7"/>
    <w:rsid w:val="00E019A0"/>
    <w:rsid w:val="00E0221D"/>
    <w:rsid w:val="00E024B5"/>
    <w:rsid w:val="00E02AB8"/>
    <w:rsid w:val="00E02BAB"/>
    <w:rsid w:val="00E02D28"/>
    <w:rsid w:val="00E03744"/>
    <w:rsid w:val="00E03883"/>
    <w:rsid w:val="00E045BC"/>
    <w:rsid w:val="00E0495E"/>
    <w:rsid w:val="00E05A61"/>
    <w:rsid w:val="00E061B9"/>
    <w:rsid w:val="00E06394"/>
    <w:rsid w:val="00E10BB1"/>
    <w:rsid w:val="00E114FC"/>
    <w:rsid w:val="00E12872"/>
    <w:rsid w:val="00E12908"/>
    <w:rsid w:val="00E129EC"/>
    <w:rsid w:val="00E13D53"/>
    <w:rsid w:val="00E14110"/>
    <w:rsid w:val="00E14449"/>
    <w:rsid w:val="00E145A0"/>
    <w:rsid w:val="00E14C94"/>
    <w:rsid w:val="00E15E3E"/>
    <w:rsid w:val="00E15EA3"/>
    <w:rsid w:val="00E178A1"/>
    <w:rsid w:val="00E17D3E"/>
    <w:rsid w:val="00E17F02"/>
    <w:rsid w:val="00E20132"/>
    <w:rsid w:val="00E20499"/>
    <w:rsid w:val="00E21CF7"/>
    <w:rsid w:val="00E21DEF"/>
    <w:rsid w:val="00E22106"/>
    <w:rsid w:val="00E22254"/>
    <w:rsid w:val="00E22C57"/>
    <w:rsid w:val="00E22F0C"/>
    <w:rsid w:val="00E2312D"/>
    <w:rsid w:val="00E23591"/>
    <w:rsid w:val="00E23AE6"/>
    <w:rsid w:val="00E23BE8"/>
    <w:rsid w:val="00E23D90"/>
    <w:rsid w:val="00E2412A"/>
    <w:rsid w:val="00E24546"/>
    <w:rsid w:val="00E2530B"/>
    <w:rsid w:val="00E258C2"/>
    <w:rsid w:val="00E25913"/>
    <w:rsid w:val="00E25DA1"/>
    <w:rsid w:val="00E25FCC"/>
    <w:rsid w:val="00E266D6"/>
    <w:rsid w:val="00E26A8D"/>
    <w:rsid w:val="00E26B60"/>
    <w:rsid w:val="00E274FC"/>
    <w:rsid w:val="00E27703"/>
    <w:rsid w:val="00E300A3"/>
    <w:rsid w:val="00E300C6"/>
    <w:rsid w:val="00E300D2"/>
    <w:rsid w:val="00E300DD"/>
    <w:rsid w:val="00E3117C"/>
    <w:rsid w:val="00E313ED"/>
    <w:rsid w:val="00E314E3"/>
    <w:rsid w:val="00E31D60"/>
    <w:rsid w:val="00E32A5A"/>
    <w:rsid w:val="00E33BD6"/>
    <w:rsid w:val="00E33E5D"/>
    <w:rsid w:val="00E341C4"/>
    <w:rsid w:val="00E346DA"/>
    <w:rsid w:val="00E352DF"/>
    <w:rsid w:val="00E35E8B"/>
    <w:rsid w:val="00E3654F"/>
    <w:rsid w:val="00E36576"/>
    <w:rsid w:val="00E3685A"/>
    <w:rsid w:val="00E371C8"/>
    <w:rsid w:val="00E3720A"/>
    <w:rsid w:val="00E37389"/>
    <w:rsid w:val="00E3782F"/>
    <w:rsid w:val="00E37886"/>
    <w:rsid w:val="00E37CF5"/>
    <w:rsid w:val="00E37D3B"/>
    <w:rsid w:val="00E41012"/>
    <w:rsid w:val="00E41282"/>
    <w:rsid w:val="00E41B21"/>
    <w:rsid w:val="00E42C57"/>
    <w:rsid w:val="00E42E9A"/>
    <w:rsid w:val="00E430C8"/>
    <w:rsid w:val="00E4464F"/>
    <w:rsid w:val="00E45BA8"/>
    <w:rsid w:val="00E45D20"/>
    <w:rsid w:val="00E46164"/>
    <w:rsid w:val="00E46646"/>
    <w:rsid w:val="00E46F4F"/>
    <w:rsid w:val="00E4744F"/>
    <w:rsid w:val="00E47D89"/>
    <w:rsid w:val="00E500D0"/>
    <w:rsid w:val="00E50640"/>
    <w:rsid w:val="00E52439"/>
    <w:rsid w:val="00E5367F"/>
    <w:rsid w:val="00E53899"/>
    <w:rsid w:val="00E53AEB"/>
    <w:rsid w:val="00E53AF2"/>
    <w:rsid w:val="00E53C5F"/>
    <w:rsid w:val="00E53D11"/>
    <w:rsid w:val="00E54674"/>
    <w:rsid w:val="00E55011"/>
    <w:rsid w:val="00E5511C"/>
    <w:rsid w:val="00E556F1"/>
    <w:rsid w:val="00E558DB"/>
    <w:rsid w:val="00E55922"/>
    <w:rsid w:val="00E55B3D"/>
    <w:rsid w:val="00E56C3F"/>
    <w:rsid w:val="00E56CA7"/>
    <w:rsid w:val="00E56CCF"/>
    <w:rsid w:val="00E57291"/>
    <w:rsid w:val="00E573C0"/>
    <w:rsid w:val="00E602F1"/>
    <w:rsid w:val="00E617E9"/>
    <w:rsid w:val="00E61D36"/>
    <w:rsid w:val="00E630D5"/>
    <w:rsid w:val="00E63516"/>
    <w:rsid w:val="00E63943"/>
    <w:rsid w:val="00E63AD8"/>
    <w:rsid w:val="00E6482C"/>
    <w:rsid w:val="00E649F6"/>
    <w:rsid w:val="00E65B40"/>
    <w:rsid w:val="00E66038"/>
    <w:rsid w:val="00E66E67"/>
    <w:rsid w:val="00E66F61"/>
    <w:rsid w:val="00E70068"/>
    <w:rsid w:val="00E70662"/>
    <w:rsid w:val="00E70C8C"/>
    <w:rsid w:val="00E7123C"/>
    <w:rsid w:val="00E712B6"/>
    <w:rsid w:val="00E72442"/>
    <w:rsid w:val="00E726B4"/>
    <w:rsid w:val="00E727C9"/>
    <w:rsid w:val="00E72A91"/>
    <w:rsid w:val="00E731B3"/>
    <w:rsid w:val="00E754F1"/>
    <w:rsid w:val="00E758D3"/>
    <w:rsid w:val="00E75A16"/>
    <w:rsid w:val="00E75B5A"/>
    <w:rsid w:val="00E762FB"/>
    <w:rsid w:val="00E76EA7"/>
    <w:rsid w:val="00E77A0E"/>
    <w:rsid w:val="00E802AD"/>
    <w:rsid w:val="00E80703"/>
    <w:rsid w:val="00E8138C"/>
    <w:rsid w:val="00E813B7"/>
    <w:rsid w:val="00E82282"/>
    <w:rsid w:val="00E82C70"/>
    <w:rsid w:val="00E82FD5"/>
    <w:rsid w:val="00E83AEA"/>
    <w:rsid w:val="00E83B78"/>
    <w:rsid w:val="00E8413F"/>
    <w:rsid w:val="00E84856"/>
    <w:rsid w:val="00E8487B"/>
    <w:rsid w:val="00E84A08"/>
    <w:rsid w:val="00E84D6C"/>
    <w:rsid w:val="00E85866"/>
    <w:rsid w:val="00E86041"/>
    <w:rsid w:val="00E867E6"/>
    <w:rsid w:val="00E87171"/>
    <w:rsid w:val="00E87BBA"/>
    <w:rsid w:val="00E9106C"/>
    <w:rsid w:val="00E91174"/>
    <w:rsid w:val="00E91B3D"/>
    <w:rsid w:val="00E92C0C"/>
    <w:rsid w:val="00E92D1A"/>
    <w:rsid w:val="00E93DA3"/>
    <w:rsid w:val="00E94A69"/>
    <w:rsid w:val="00E94B46"/>
    <w:rsid w:val="00E9569A"/>
    <w:rsid w:val="00E961C5"/>
    <w:rsid w:val="00E96B84"/>
    <w:rsid w:val="00E972E8"/>
    <w:rsid w:val="00E977C7"/>
    <w:rsid w:val="00E97DD4"/>
    <w:rsid w:val="00E97E71"/>
    <w:rsid w:val="00EA1476"/>
    <w:rsid w:val="00EA183E"/>
    <w:rsid w:val="00EA1E6C"/>
    <w:rsid w:val="00EA1FE2"/>
    <w:rsid w:val="00EA37EE"/>
    <w:rsid w:val="00EA4184"/>
    <w:rsid w:val="00EA434B"/>
    <w:rsid w:val="00EA478D"/>
    <w:rsid w:val="00EA4FEE"/>
    <w:rsid w:val="00EA6605"/>
    <w:rsid w:val="00EA6A10"/>
    <w:rsid w:val="00EA750E"/>
    <w:rsid w:val="00EB027F"/>
    <w:rsid w:val="00EB05C4"/>
    <w:rsid w:val="00EB0A83"/>
    <w:rsid w:val="00EB0D9C"/>
    <w:rsid w:val="00EB0EF9"/>
    <w:rsid w:val="00EB1A5E"/>
    <w:rsid w:val="00EB1C19"/>
    <w:rsid w:val="00EB1FB9"/>
    <w:rsid w:val="00EB23D8"/>
    <w:rsid w:val="00EB2712"/>
    <w:rsid w:val="00EB2D59"/>
    <w:rsid w:val="00EB2DFE"/>
    <w:rsid w:val="00EB30E9"/>
    <w:rsid w:val="00EB31DB"/>
    <w:rsid w:val="00EB3712"/>
    <w:rsid w:val="00EB4349"/>
    <w:rsid w:val="00EB4C34"/>
    <w:rsid w:val="00EB5620"/>
    <w:rsid w:val="00EB647B"/>
    <w:rsid w:val="00EB656C"/>
    <w:rsid w:val="00EB75C8"/>
    <w:rsid w:val="00EB7A9F"/>
    <w:rsid w:val="00EB7CD2"/>
    <w:rsid w:val="00EB7F3C"/>
    <w:rsid w:val="00EC06A3"/>
    <w:rsid w:val="00EC0FE2"/>
    <w:rsid w:val="00EC1191"/>
    <w:rsid w:val="00EC1829"/>
    <w:rsid w:val="00EC1A0F"/>
    <w:rsid w:val="00EC1F56"/>
    <w:rsid w:val="00EC2310"/>
    <w:rsid w:val="00EC286C"/>
    <w:rsid w:val="00EC2D7A"/>
    <w:rsid w:val="00EC56A2"/>
    <w:rsid w:val="00EC5966"/>
    <w:rsid w:val="00EC5A0D"/>
    <w:rsid w:val="00EC5DB5"/>
    <w:rsid w:val="00EC6F92"/>
    <w:rsid w:val="00EC73CB"/>
    <w:rsid w:val="00EC7BB9"/>
    <w:rsid w:val="00ED013D"/>
    <w:rsid w:val="00ED0638"/>
    <w:rsid w:val="00ED24BA"/>
    <w:rsid w:val="00ED24C2"/>
    <w:rsid w:val="00ED2778"/>
    <w:rsid w:val="00ED2CB1"/>
    <w:rsid w:val="00ED2E36"/>
    <w:rsid w:val="00ED3184"/>
    <w:rsid w:val="00ED328C"/>
    <w:rsid w:val="00ED4DDB"/>
    <w:rsid w:val="00ED50DA"/>
    <w:rsid w:val="00ED564E"/>
    <w:rsid w:val="00ED5739"/>
    <w:rsid w:val="00ED60FE"/>
    <w:rsid w:val="00ED6596"/>
    <w:rsid w:val="00ED730C"/>
    <w:rsid w:val="00ED775E"/>
    <w:rsid w:val="00ED7C6C"/>
    <w:rsid w:val="00EE05A1"/>
    <w:rsid w:val="00EE0EF8"/>
    <w:rsid w:val="00EE1276"/>
    <w:rsid w:val="00EE131D"/>
    <w:rsid w:val="00EE1498"/>
    <w:rsid w:val="00EE17E7"/>
    <w:rsid w:val="00EE1E28"/>
    <w:rsid w:val="00EE24E0"/>
    <w:rsid w:val="00EE2ABA"/>
    <w:rsid w:val="00EE2B4C"/>
    <w:rsid w:val="00EE2EA0"/>
    <w:rsid w:val="00EE35A7"/>
    <w:rsid w:val="00EE3896"/>
    <w:rsid w:val="00EE4332"/>
    <w:rsid w:val="00EE46E2"/>
    <w:rsid w:val="00EE4DDD"/>
    <w:rsid w:val="00EE4EA7"/>
    <w:rsid w:val="00EE50A6"/>
    <w:rsid w:val="00EE570C"/>
    <w:rsid w:val="00EE5BA6"/>
    <w:rsid w:val="00EE5CF8"/>
    <w:rsid w:val="00EE5DF0"/>
    <w:rsid w:val="00EE5FDE"/>
    <w:rsid w:val="00EE60B8"/>
    <w:rsid w:val="00EE6EB9"/>
    <w:rsid w:val="00EF0995"/>
    <w:rsid w:val="00EF1111"/>
    <w:rsid w:val="00EF1E06"/>
    <w:rsid w:val="00EF2A38"/>
    <w:rsid w:val="00EF3B57"/>
    <w:rsid w:val="00EF3F1B"/>
    <w:rsid w:val="00EF4080"/>
    <w:rsid w:val="00EF4739"/>
    <w:rsid w:val="00EF48C7"/>
    <w:rsid w:val="00EF4A42"/>
    <w:rsid w:val="00EF5B5B"/>
    <w:rsid w:val="00EF68E9"/>
    <w:rsid w:val="00EF72AE"/>
    <w:rsid w:val="00F0051E"/>
    <w:rsid w:val="00F01AF0"/>
    <w:rsid w:val="00F027A7"/>
    <w:rsid w:val="00F02ECD"/>
    <w:rsid w:val="00F03308"/>
    <w:rsid w:val="00F0428F"/>
    <w:rsid w:val="00F043DA"/>
    <w:rsid w:val="00F044D2"/>
    <w:rsid w:val="00F04EB1"/>
    <w:rsid w:val="00F0501C"/>
    <w:rsid w:val="00F058E6"/>
    <w:rsid w:val="00F06502"/>
    <w:rsid w:val="00F06710"/>
    <w:rsid w:val="00F06833"/>
    <w:rsid w:val="00F06A08"/>
    <w:rsid w:val="00F1001C"/>
    <w:rsid w:val="00F11844"/>
    <w:rsid w:val="00F11884"/>
    <w:rsid w:val="00F11DD0"/>
    <w:rsid w:val="00F12417"/>
    <w:rsid w:val="00F1258B"/>
    <w:rsid w:val="00F1321A"/>
    <w:rsid w:val="00F13CA6"/>
    <w:rsid w:val="00F14832"/>
    <w:rsid w:val="00F148FF"/>
    <w:rsid w:val="00F15048"/>
    <w:rsid w:val="00F15056"/>
    <w:rsid w:val="00F15569"/>
    <w:rsid w:val="00F15A7C"/>
    <w:rsid w:val="00F15C00"/>
    <w:rsid w:val="00F17011"/>
    <w:rsid w:val="00F175EF"/>
    <w:rsid w:val="00F177B9"/>
    <w:rsid w:val="00F1790E"/>
    <w:rsid w:val="00F17BDB"/>
    <w:rsid w:val="00F2076A"/>
    <w:rsid w:val="00F21429"/>
    <w:rsid w:val="00F220BE"/>
    <w:rsid w:val="00F22500"/>
    <w:rsid w:val="00F22AD2"/>
    <w:rsid w:val="00F22D17"/>
    <w:rsid w:val="00F22F01"/>
    <w:rsid w:val="00F231A8"/>
    <w:rsid w:val="00F233D0"/>
    <w:rsid w:val="00F233F2"/>
    <w:rsid w:val="00F23DAE"/>
    <w:rsid w:val="00F24C01"/>
    <w:rsid w:val="00F25333"/>
    <w:rsid w:val="00F256C6"/>
    <w:rsid w:val="00F25B58"/>
    <w:rsid w:val="00F25BB0"/>
    <w:rsid w:val="00F26370"/>
    <w:rsid w:val="00F26D01"/>
    <w:rsid w:val="00F26D23"/>
    <w:rsid w:val="00F30357"/>
    <w:rsid w:val="00F30570"/>
    <w:rsid w:val="00F30847"/>
    <w:rsid w:val="00F31465"/>
    <w:rsid w:val="00F314CB"/>
    <w:rsid w:val="00F31F07"/>
    <w:rsid w:val="00F321AC"/>
    <w:rsid w:val="00F322E6"/>
    <w:rsid w:val="00F3262E"/>
    <w:rsid w:val="00F3291D"/>
    <w:rsid w:val="00F33015"/>
    <w:rsid w:val="00F33ACC"/>
    <w:rsid w:val="00F33E0F"/>
    <w:rsid w:val="00F34432"/>
    <w:rsid w:val="00F354D0"/>
    <w:rsid w:val="00F355CD"/>
    <w:rsid w:val="00F35AE6"/>
    <w:rsid w:val="00F3670D"/>
    <w:rsid w:val="00F36C3D"/>
    <w:rsid w:val="00F36F31"/>
    <w:rsid w:val="00F36FA4"/>
    <w:rsid w:val="00F3797F"/>
    <w:rsid w:val="00F37B1E"/>
    <w:rsid w:val="00F37B32"/>
    <w:rsid w:val="00F37EE4"/>
    <w:rsid w:val="00F40814"/>
    <w:rsid w:val="00F40C22"/>
    <w:rsid w:val="00F413ED"/>
    <w:rsid w:val="00F416C9"/>
    <w:rsid w:val="00F41D9F"/>
    <w:rsid w:val="00F41E28"/>
    <w:rsid w:val="00F42093"/>
    <w:rsid w:val="00F42433"/>
    <w:rsid w:val="00F428A9"/>
    <w:rsid w:val="00F434C4"/>
    <w:rsid w:val="00F437F7"/>
    <w:rsid w:val="00F43B67"/>
    <w:rsid w:val="00F43BBB"/>
    <w:rsid w:val="00F44419"/>
    <w:rsid w:val="00F44778"/>
    <w:rsid w:val="00F44814"/>
    <w:rsid w:val="00F44B72"/>
    <w:rsid w:val="00F44E43"/>
    <w:rsid w:val="00F45279"/>
    <w:rsid w:val="00F45F7F"/>
    <w:rsid w:val="00F474DA"/>
    <w:rsid w:val="00F477CE"/>
    <w:rsid w:val="00F47A65"/>
    <w:rsid w:val="00F47ADD"/>
    <w:rsid w:val="00F47F15"/>
    <w:rsid w:val="00F50001"/>
    <w:rsid w:val="00F500AF"/>
    <w:rsid w:val="00F5085B"/>
    <w:rsid w:val="00F50E69"/>
    <w:rsid w:val="00F5124A"/>
    <w:rsid w:val="00F5148F"/>
    <w:rsid w:val="00F51548"/>
    <w:rsid w:val="00F51914"/>
    <w:rsid w:val="00F52021"/>
    <w:rsid w:val="00F52D03"/>
    <w:rsid w:val="00F52F84"/>
    <w:rsid w:val="00F535EF"/>
    <w:rsid w:val="00F53657"/>
    <w:rsid w:val="00F53764"/>
    <w:rsid w:val="00F5393D"/>
    <w:rsid w:val="00F543AC"/>
    <w:rsid w:val="00F546B1"/>
    <w:rsid w:val="00F54890"/>
    <w:rsid w:val="00F55AB9"/>
    <w:rsid w:val="00F56BA8"/>
    <w:rsid w:val="00F56BF6"/>
    <w:rsid w:val="00F5755C"/>
    <w:rsid w:val="00F575FD"/>
    <w:rsid w:val="00F6002D"/>
    <w:rsid w:val="00F60A92"/>
    <w:rsid w:val="00F60CD2"/>
    <w:rsid w:val="00F611F0"/>
    <w:rsid w:val="00F61A43"/>
    <w:rsid w:val="00F61B71"/>
    <w:rsid w:val="00F62A01"/>
    <w:rsid w:val="00F636E0"/>
    <w:rsid w:val="00F6396A"/>
    <w:rsid w:val="00F63E5A"/>
    <w:rsid w:val="00F646D7"/>
    <w:rsid w:val="00F64D8A"/>
    <w:rsid w:val="00F650CE"/>
    <w:rsid w:val="00F6533D"/>
    <w:rsid w:val="00F654A4"/>
    <w:rsid w:val="00F6594C"/>
    <w:rsid w:val="00F669DA"/>
    <w:rsid w:val="00F67B04"/>
    <w:rsid w:val="00F67CD1"/>
    <w:rsid w:val="00F67E3F"/>
    <w:rsid w:val="00F67F3B"/>
    <w:rsid w:val="00F70519"/>
    <w:rsid w:val="00F70952"/>
    <w:rsid w:val="00F70CBA"/>
    <w:rsid w:val="00F70ED8"/>
    <w:rsid w:val="00F71F58"/>
    <w:rsid w:val="00F72054"/>
    <w:rsid w:val="00F72F7D"/>
    <w:rsid w:val="00F73246"/>
    <w:rsid w:val="00F732C6"/>
    <w:rsid w:val="00F73375"/>
    <w:rsid w:val="00F733C4"/>
    <w:rsid w:val="00F7366F"/>
    <w:rsid w:val="00F739F3"/>
    <w:rsid w:val="00F73F97"/>
    <w:rsid w:val="00F7439B"/>
    <w:rsid w:val="00F753A1"/>
    <w:rsid w:val="00F75DA4"/>
    <w:rsid w:val="00F7710D"/>
    <w:rsid w:val="00F80747"/>
    <w:rsid w:val="00F8077F"/>
    <w:rsid w:val="00F80AEB"/>
    <w:rsid w:val="00F80E78"/>
    <w:rsid w:val="00F81327"/>
    <w:rsid w:val="00F81F9D"/>
    <w:rsid w:val="00F82162"/>
    <w:rsid w:val="00F82FAC"/>
    <w:rsid w:val="00F8368B"/>
    <w:rsid w:val="00F83C15"/>
    <w:rsid w:val="00F84467"/>
    <w:rsid w:val="00F84D00"/>
    <w:rsid w:val="00F852FC"/>
    <w:rsid w:val="00F85CE5"/>
    <w:rsid w:val="00F85E84"/>
    <w:rsid w:val="00F8611D"/>
    <w:rsid w:val="00F86853"/>
    <w:rsid w:val="00F86873"/>
    <w:rsid w:val="00F91F9F"/>
    <w:rsid w:val="00F92395"/>
    <w:rsid w:val="00F924DB"/>
    <w:rsid w:val="00F92508"/>
    <w:rsid w:val="00F92A0B"/>
    <w:rsid w:val="00F9344A"/>
    <w:rsid w:val="00F94CCC"/>
    <w:rsid w:val="00F96659"/>
    <w:rsid w:val="00F96D24"/>
    <w:rsid w:val="00F97026"/>
    <w:rsid w:val="00F97567"/>
    <w:rsid w:val="00F97F39"/>
    <w:rsid w:val="00FA0014"/>
    <w:rsid w:val="00FA0937"/>
    <w:rsid w:val="00FA0F7E"/>
    <w:rsid w:val="00FA1995"/>
    <w:rsid w:val="00FA23BF"/>
    <w:rsid w:val="00FA3328"/>
    <w:rsid w:val="00FA3AD4"/>
    <w:rsid w:val="00FA3B99"/>
    <w:rsid w:val="00FA4332"/>
    <w:rsid w:val="00FA54F4"/>
    <w:rsid w:val="00FA55F0"/>
    <w:rsid w:val="00FA5620"/>
    <w:rsid w:val="00FA56E5"/>
    <w:rsid w:val="00FA5E9D"/>
    <w:rsid w:val="00FA5F5D"/>
    <w:rsid w:val="00FA64E7"/>
    <w:rsid w:val="00FA6960"/>
    <w:rsid w:val="00FA6F6F"/>
    <w:rsid w:val="00FA7AC1"/>
    <w:rsid w:val="00FA7E03"/>
    <w:rsid w:val="00FB0795"/>
    <w:rsid w:val="00FB0845"/>
    <w:rsid w:val="00FB0A6F"/>
    <w:rsid w:val="00FB1237"/>
    <w:rsid w:val="00FB15F9"/>
    <w:rsid w:val="00FB1786"/>
    <w:rsid w:val="00FB264C"/>
    <w:rsid w:val="00FB27A9"/>
    <w:rsid w:val="00FB2823"/>
    <w:rsid w:val="00FB2A50"/>
    <w:rsid w:val="00FB349A"/>
    <w:rsid w:val="00FB34DD"/>
    <w:rsid w:val="00FB3619"/>
    <w:rsid w:val="00FB3737"/>
    <w:rsid w:val="00FB3844"/>
    <w:rsid w:val="00FB3FD5"/>
    <w:rsid w:val="00FB5361"/>
    <w:rsid w:val="00FB64F2"/>
    <w:rsid w:val="00FB70DD"/>
    <w:rsid w:val="00FC03A9"/>
    <w:rsid w:val="00FC0C17"/>
    <w:rsid w:val="00FC0E08"/>
    <w:rsid w:val="00FC19DB"/>
    <w:rsid w:val="00FC1BFA"/>
    <w:rsid w:val="00FC325D"/>
    <w:rsid w:val="00FC37A8"/>
    <w:rsid w:val="00FC4242"/>
    <w:rsid w:val="00FC4348"/>
    <w:rsid w:val="00FC4871"/>
    <w:rsid w:val="00FC6581"/>
    <w:rsid w:val="00FC662D"/>
    <w:rsid w:val="00FC6B57"/>
    <w:rsid w:val="00FC799E"/>
    <w:rsid w:val="00FD038D"/>
    <w:rsid w:val="00FD0578"/>
    <w:rsid w:val="00FD069B"/>
    <w:rsid w:val="00FD11E9"/>
    <w:rsid w:val="00FD16F1"/>
    <w:rsid w:val="00FD1C8D"/>
    <w:rsid w:val="00FD1F94"/>
    <w:rsid w:val="00FD23CF"/>
    <w:rsid w:val="00FD4C99"/>
    <w:rsid w:val="00FD5461"/>
    <w:rsid w:val="00FD5ABA"/>
    <w:rsid w:val="00FD5B12"/>
    <w:rsid w:val="00FD5C5F"/>
    <w:rsid w:val="00FD5E22"/>
    <w:rsid w:val="00FD6DC3"/>
    <w:rsid w:val="00FD6E78"/>
    <w:rsid w:val="00FD783F"/>
    <w:rsid w:val="00FE03EF"/>
    <w:rsid w:val="00FE0C2C"/>
    <w:rsid w:val="00FE0E0B"/>
    <w:rsid w:val="00FE12CA"/>
    <w:rsid w:val="00FE1363"/>
    <w:rsid w:val="00FE18D9"/>
    <w:rsid w:val="00FE18ED"/>
    <w:rsid w:val="00FE3907"/>
    <w:rsid w:val="00FE3909"/>
    <w:rsid w:val="00FE4572"/>
    <w:rsid w:val="00FE483F"/>
    <w:rsid w:val="00FE4C78"/>
    <w:rsid w:val="00FE66F9"/>
    <w:rsid w:val="00FF00CA"/>
    <w:rsid w:val="00FF0ED9"/>
    <w:rsid w:val="00FF1444"/>
    <w:rsid w:val="00FF14C5"/>
    <w:rsid w:val="00FF1894"/>
    <w:rsid w:val="00FF19E1"/>
    <w:rsid w:val="00FF23CF"/>
    <w:rsid w:val="00FF281F"/>
    <w:rsid w:val="00FF324F"/>
    <w:rsid w:val="00FF4B96"/>
    <w:rsid w:val="00FF4D90"/>
    <w:rsid w:val="00FF5026"/>
    <w:rsid w:val="00FF5323"/>
    <w:rsid w:val="00FF5BA4"/>
    <w:rsid w:val="00FF5D24"/>
    <w:rsid w:val="00FF5E00"/>
    <w:rsid w:val="00FF6A8E"/>
    <w:rsid w:val="00FF7837"/>
    <w:rsid w:val="00FF7950"/>
    <w:rsid w:val="00FF7A16"/>
    <w:rsid w:val="00FF7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3828"/>
  </w:style>
  <w:style w:type="paragraph" w:styleId="Heading1">
    <w:name w:val="heading 1"/>
    <w:basedOn w:val="Normal"/>
    <w:next w:val="Normal"/>
    <w:link w:val="Heading1Char"/>
    <w:qFormat/>
    <w:rsid w:val="00C155BA"/>
    <w:pPr>
      <w:keepNext/>
      <w:numPr>
        <w:numId w:val="2"/>
      </w:numPr>
      <w:outlineLvl w:val="0"/>
    </w:pPr>
    <w:rPr>
      <w:b/>
    </w:rPr>
  </w:style>
  <w:style w:type="paragraph" w:styleId="Heading2">
    <w:name w:val="heading 2"/>
    <w:basedOn w:val="Normal"/>
    <w:next w:val="Normal"/>
    <w:link w:val="Heading2Char"/>
    <w:qFormat/>
    <w:rsid w:val="00C155BA"/>
    <w:pPr>
      <w:keepNext/>
      <w:spacing w:line="480" w:lineRule="auto"/>
      <w:ind w:left="720"/>
      <w:outlineLvl w:val="1"/>
    </w:pPr>
    <w:rPr>
      <w:b/>
      <w:sz w:val="24"/>
    </w:rPr>
  </w:style>
  <w:style w:type="paragraph" w:styleId="Heading3">
    <w:name w:val="heading 3"/>
    <w:basedOn w:val="Normal"/>
    <w:next w:val="Normal"/>
    <w:link w:val="Heading3Char"/>
    <w:qFormat/>
    <w:rsid w:val="00C155BA"/>
    <w:pPr>
      <w:keepNext/>
      <w:numPr>
        <w:numId w:val="1"/>
      </w:numPr>
      <w:spacing w:line="480" w:lineRule="auto"/>
      <w:outlineLvl w:val="2"/>
    </w:pPr>
    <w:rPr>
      <w:b/>
      <w:sz w:val="24"/>
    </w:rPr>
  </w:style>
  <w:style w:type="paragraph" w:styleId="Heading4">
    <w:name w:val="heading 4"/>
    <w:basedOn w:val="Normal"/>
    <w:next w:val="Normal"/>
    <w:qFormat/>
    <w:rsid w:val="00C155BA"/>
    <w:pPr>
      <w:keepNext/>
      <w:numPr>
        <w:numId w:val="3"/>
      </w:numPr>
      <w:spacing w:line="480" w:lineRule="auto"/>
      <w:outlineLvl w:val="3"/>
    </w:pPr>
    <w:rPr>
      <w:sz w:val="24"/>
    </w:rPr>
  </w:style>
  <w:style w:type="paragraph" w:styleId="Heading5">
    <w:name w:val="heading 5"/>
    <w:basedOn w:val="Normal"/>
    <w:next w:val="Normal"/>
    <w:qFormat/>
    <w:rsid w:val="00C155BA"/>
    <w:pPr>
      <w:keepNext/>
      <w:jc w:val="center"/>
      <w:outlineLvl w:val="4"/>
    </w:pPr>
    <w:rPr>
      <w:rFonts w:ascii="Arial" w:hAnsi="Arial"/>
      <w:b/>
      <w:sz w:val="24"/>
    </w:rPr>
  </w:style>
  <w:style w:type="paragraph" w:styleId="Heading6">
    <w:name w:val="heading 6"/>
    <w:basedOn w:val="Normal"/>
    <w:next w:val="Normal"/>
    <w:qFormat/>
    <w:rsid w:val="00C155BA"/>
    <w:pPr>
      <w:keepNext/>
      <w:ind w:left="-53" w:right="-107"/>
      <w:outlineLvl w:val="5"/>
    </w:pPr>
    <w:rPr>
      <w:rFonts w:ascii="Arial" w:hAnsi="Arial"/>
      <w:b/>
      <w:sz w:val="24"/>
    </w:rPr>
  </w:style>
  <w:style w:type="paragraph" w:styleId="Heading7">
    <w:name w:val="heading 7"/>
    <w:basedOn w:val="Normal"/>
    <w:next w:val="Normal"/>
    <w:qFormat/>
    <w:rsid w:val="00C155BA"/>
    <w:pPr>
      <w:keepNext/>
      <w:ind w:left="-117" w:right="-107" w:firstLine="81"/>
      <w:outlineLvl w:val="6"/>
    </w:pPr>
    <w:rPr>
      <w:rFonts w:ascii="Arial" w:hAnsi="Arial"/>
      <w:b/>
      <w:sz w:val="24"/>
    </w:rPr>
  </w:style>
  <w:style w:type="paragraph" w:styleId="Heading8">
    <w:name w:val="heading 8"/>
    <w:basedOn w:val="Normal"/>
    <w:next w:val="Normal"/>
    <w:qFormat/>
    <w:rsid w:val="00C155BA"/>
    <w:pPr>
      <w:keepNext/>
      <w:outlineLvl w:val="7"/>
    </w:pPr>
    <w:rPr>
      <w:sz w:val="24"/>
    </w:rPr>
  </w:style>
  <w:style w:type="paragraph" w:styleId="Heading9">
    <w:name w:val="heading 9"/>
    <w:basedOn w:val="Normal"/>
    <w:next w:val="Normal"/>
    <w:qFormat/>
    <w:rsid w:val="00C155BA"/>
    <w:pPr>
      <w:keepNext/>
      <w:jc w:val="right"/>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C155BA"/>
    <w:pPr>
      <w:ind w:left="720" w:hanging="720"/>
    </w:pPr>
  </w:style>
  <w:style w:type="paragraph" w:styleId="Title">
    <w:name w:val="Title"/>
    <w:basedOn w:val="Normal"/>
    <w:qFormat/>
    <w:rsid w:val="00C155BA"/>
    <w:pPr>
      <w:spacing w:line="480" w:lineRule="atLeast"/>
      <w:ind w:left="720" w:hanging="720"/>
      <w:jc w:val="center"/>
    </w:pPr>
    <w:rPr>
      <w:rFonts w:ascii="Arial" w:hAnsi="Arial"/>
      <w:b/>
      <w:sz w:val="24"/>
    </w:rPr>
  </w:style>
  <w:style w:type="paragraph" w:styleId="Footer">
    <w:name w:val="footer"/>
    <w:basedOn w:val="Normal"/>
    <w:link w:val="FooterChar"/>
    <w:uiPriority w:val="99"/>
    <w:rsid w:val="00C155BA"/>
    <w:pPr>
      <w:tabs>
        <w:tab w:val="center" w:pos="4320"/>
        <w:tab w:val="right" w:pos="8640"/>
      </w:tabs>
    </w:pPr>
  </w:style>
  <w:style w:type="character" w:styleId="PageNumber">
    <w:name w:val="page number"/>
    <w:basedOn w:val="DefaultParagraphFont"/>
    <w:rsid w:val="00C155BA"/>
  </w:style>
  <w:style w:type="paragraph" w:styleId="BodyTextIndent2">
    <w:name w:val="Body Text Indent 2"/>
    <w:basedOn w:val="Normal"/>
    <w:link w:val="BodyTextIndent2Char"/>
    <w:rsid w:val="00C155BA"/>
    <w:pPr>
      <w:spacing w:line="480" w:lineRule="auto"/>
      <w:ind w:left="720" w:hanging="720"/>
    </w:pPr>
    <w:rPr>
      <w:sz w:val="24"/>
    </w:rPr>
  </w:style>
  <w:style w:type="paragraph" w:styleId="BodyText">
    <w:name w:val="Body Text"/>
    <w:basedOn w:val="Normal"/>
    <w:link w:val="BodyTextChar"/>
    <w:rsid w:val="00C155BA"/>
    <w:pPr>
      <w:spacing w:line="480" w:lineRule="auto"/>
    </w:pPr>
    <w:rPr>
      <w:b/>
      <w:sz w:val="24"/>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Style 22,Style 13"/>
    <w:basedOn w:val="Normal"/>
    <w:link w:val="FootnoteTextChar"/>
    <w:qFormat/>
    <w:rsid w:val="00C155BA"/>
  </w:style>
  <w:style w:type="character" w:styleId="FootnoteReference">
    <w:name w:val="footnote reference"/>
    <w:aliases w:val="o,fr,Style 3,Style 21,Style 12,Style 11,Style 28,Style 8,Style 4,Style 17,o1,fr1,o2,fr2,o3,fr3,(NECG) Footnote Reference,Style 20,Style 7,Style 18,Style 19,Style 24,Style 15,Style 16,Style 29,Style 32,Style 9,o + Times New Roman"/>
    <w:basedOn w:val="DefaultParagraphFont"/>
    <w:qFormat/>
    <w:rsid w:val="00C155BA"/>
    <w:rPr>
      <w:vertAlign w:val="superscript"/>
    </w:rPr>
  </w:style>
  <w:style w:type="character" w:styleId="LineNumber">
    <w:name w:val="line number"/>
    <w:basedOn w:val="DefaultParagraphFont"/>
    <w:rsid w:val="00C155BA"/>
  </w:style>
  <w:style w:type="paragraph" w:styleId="Header">
    <w:name w:val="header"/>
    <w:basedOn w:val="Normal"/>
    <w:link w:val="HeaderChar"/>
    <w:uiPriority w:val="99"/>
    <w:rsid w:val="00C155BA"/>
    <w:pPr>
      <w:tabs>
        <w:tab w:val="center" w:pos="4320"/>
        <w:tab w:val="right" w:pos="8640"/>
      </w:tabs>
    </w:pPr>
  </w:style>
  <w:style w:type="paragraph" w:styleId="BodyTextIndent3">
    <w:name w:val="Body Text Indent 3"/>
    <w:basedOn w:val="Normal"/>
    <w:rsid w:val="00C155BA"/>
    <w:pPr>
      <w:spacing w:line="480" w:lineRule="auto"/>
      <w:ind w:left="720"/>
    </w:pPr>
    <w:rPr>
      <w:sz w:val="24"/>
    </w:rPr>
  </w:style>
  <w:style w:type="character" w:styleId="Hyperlink">
    <w:name w:val="Hyperlink"/>
    <w:basedOn w:val="DefaultParagraphFont"/>
    <w:uiPriority w:val="99"/>
    <w:rsid w:val="00C155BA"/>
    <w:rPr>
      <w:color w:val="0000FF"/>
      <w:u w:val="single"/>
    </w:rPr>
  </w:style>
  <w:style w:type="paragraph" w:styleId="BlockText">
    <w:name w:val="Block Text"/>
    <w:basedOn w:val="Normal"/>
    <w:rsid w:val="00C155BA"/>
    <w:pPr>
      <w:ind w:left="1440" w:right="720"/>
    </w:pPr>
    <w:rPr>
      <w:sz w:val="24"/>
    </w:rPr>
  </w:style>
  <w:style w:type="paragraph" w:customStyle="1" w:styleId="Q">
    <w:name w:val="Q"/>
    <w:basedOn w:val="Normal"/>
    <w:rsid w:val="00C155BA"/>
    <w:pPr>
      <w:keepNext/>
      <w:spacing w:before="240" w:line="480" w:lineRule="atLeast"/>
      <w:ind w:left="720" w:hanging="720"/>
      <w:jc w:val="both"/>
    </w:pPr>
    <w:rPr>
      <w:sz w:val="24"/>
    </w:rPr>
  </w:style>
  <w:style w:type="paragraph" w:styleId="BodyText2">
    <w:name w:val="Body Text 2"/>
    <w:basedOn w:val="Normal"/>
    <w:rsid w:val="00C155BA"/>
    <w:rPr>
      <w:sz w:val="24"/>
    </w:rPr>
  </w:style>
  <w:style w:type="paragraph" w:styleId="BodyText3">
    <w:name w:val="Body Text 3"/>
    <w:basedOn w:val="Normal"/>
    <w:rsid w:val="00C155BA"/>
    <w:pPr>
      <w:spacing w:line="360" w:lineRule="auto"/>
      <w:jc w:val="both"/>
    </w:pPr>
    <w:rPr>
      <w:b/>
      <w:sz w:val="24"/>
    </w:rPr>
  </w:style>
  <w:style w:type="paragraph" w:styleId="BalloonText">
    <w:name w:val="Balloon Text"/>
    <w:basedOn w:val="Normal"/>
    <w:semiHidden/>
    <w:rsid w:val="00EE2B4C"/>
    <w:rPr>
      <w:rFonts w:ascii="Tahoma" w:hAnsi="Tahoma" w:cs="Tahoma"/>
      <w:sz w:val="16"/>
      <w:szCs w:val="16"/>
    </w:rPr>
  </w:style>
  <w:style w:type="character" w:styleId="FollowedHyperlink">
    <w:name w:val="FollowedHyperlink"/>
    <w:basedOn w:val="DefaultParagraphFont"/>
    <w:rsid w:val="00B3308A"/>
    <w:rPr>
      <w:color w:val="800080"/>
      <w:u w:val="single"/>
    </w:rPr>
  </w:style>
  <w:style w:type="paragraph" w:customStyle="1" w:styleId="A">
    <w:name w:val="A"/>
    <w:basedOn w:val="Normal"/>
    <w:rsid w:val="00F51548"/>
    <w:pPr>
      <w:spacing w:after="120" w:line="480" w:lineRule="atLeast"/>
      <w:ind w:left="720" w:hanging="720"/>
      <w:jc w:val="both"/>
    </w:pPr>
    <w:rPr>
      <w:sz w:val="24"/>
    </w:rPr>
  </w:style>
  <w:style w:type="paragraph" w:styleId="TOC1">
    <w:name w:val="toc 1"/>
    <w:basedOn w:val="Normal"/>
    <w:next w:val="Normal"/>
    <w:autoRedefine/>
    <w:uiPriority w:val="39"/>
    <w:qFormat/>
    <w:rsid w:val="00E726B4"/>
    <w:pPr>
      <w:suppressLineNumbers/>
      <w:tabs>
        <w:tab w:val="left" w:pos="440"/>
        <w:tab w:val="right" w:leader="dot" w:pos="9350"/>
      </w:tabs>
      <w:spacing w:line="480" w:lineRule="auto"/>
    </w:pPr>
    <w:rPr>
      <w:noProof/>
    </w:rPr>
  </w:style>
  <w:style w:type="character" w:styleId="EndnoteReference">
    <w:name w:val="endnote reference"/>
    <w:basedOn w:val="DefaultParagraphFont"/>
    <w:semiHidden/>
    <w:rsid w:val="00420CAE"/>
    <w:rPr>
      <w:vertAlign w:val="superscript"/>
    </w:rPr>
  </w:style>
  <w:style w:type="paragraph" w:customStyle="1" w:styleId="PC-1">
    <w:name w:val="PC-1"/>
    <w:basedOn w:val="Normal"/>
    <w:rsid w:val="00135A49"/>
    <w:pPr>
      <w:tabs>
        <w:tab w:val="left" w:pos="360"/>
        <w:tab w:val="left" w:pos="900"/>
        <w:tab w:val="left" w:pos="1872"/>
        <w:tab w:val="left" w:pos="2495"/>
        <w:tab w:val="left" w:pos="3071"/>
        <w:tab w:val="left" w:pos="3647"/>
      </w:tabs>
      <w:spacing w:before="240"/>
      <w:ind w:left="900" w:hanging="540"/>
      <w:jc w:val="both"/>
    </w:pPr>
  </w:style>
  <w:style w:type="paragraph" w:customStyle="1" w:styleId="PC-2">
    <w:name w:val="PC-2"/>
    <w:basedOn w:val="Normal"/>
    <w:rsid w:val="00135A49"/>
    <w:pPr>
      <w:tabs>
        <w:tab w:val="left" w:pos="360"/>
        <w:tab w:val="left" w:pos="1350"/>
        <w:tab w:val="left" w:pos="2495"/>
        <w:tab w:val="left" w:pos="3071"/>
        <w:tab w:val="left" w:pos="3647"/>
      </w:tabs>
      <w:ind w:left="1350" w:hanging="450"/>
      <w:jc w:val="both"/>
    </w:pPr>
  </w:style>
  <w:style w:type="paragraph" w:styleId="ListParagraph">
    <w:name w:val="List Paragraph"/>
    <w:basedOn w:val="Normal"/>
    <w:uiPriority w:val="34"/>
    <w:qFormat/>
    <w:rsid w:val="00135A49"/>
    <w:pPr>
      <w:ind w:left="720"/>
      <w:contextualSpacing/>
    </w:pPr>
    <w:rPr>
      <w:sz w:val="24"/>
      <w:szCs w:val="24"/>
    </w:rPr>
  </w:style>
  <w:style w:type="paragraph" w:customStyle="1" w:styleId="a0">
    <w:name w:val="a"/>
    <w:basedOn w:val="Normal"/>
    <w:link w:val="aChar"/>
    <w:rsid w:val="0093422F"/>
    <w:pPr>
      <w:tabs>
        <w:tab w:val="left" w:pos="720"/>
        <w:tab w:val="left" w:pos="1440"/>
      </w:tabs>
      <w:spacing w:after="120"/>
      <w:ind w:firstLine="288"/>
      <w:jc w:val="both"/>
    </w:pPr>
    <w:rPr>
      <w:sz w:val="22"/>
    </w:rPr>
  </w:style>
  <w:style w:type="character" w:customStyle="1" w:styleId="aChar">
    <w:name w:val="a Char"/>
    <w:basedOn w:val="DefaultParagraphFont"/>
    <w:link w:val="a0"/>
    <w:rsid w:val="0093422F"/>
    <w:rPr>
      <w:sz w:val="22"/>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rsid w:val="005A59A2"/>
  </w:style>
  <w:style w:type="paragraph" w:customStyle="1" w:styleId="Default">
    <w:name w:val="Default"/>
    <w:rsid w:val="00A10C5B"/>
    <w:pPr>
      <w:autoSpaceDE w:val="0"/>
      <w:autoSpaceDN w:val="0"/>
      <w:adjustRightInd w:val="0"/>
    </w:pPr>
    <w:rPr>
      <w:rFonts w:ascii="Arial" w:hAnsi="Arial" w:cs="Arial"/>
      <w:color w:val="000000"/>
      <w:sz w:val="24"/>
      <w:szCs w:val="24"/>
    </w:rPr>
  </w:style>
  <w:style w:type="paragraph" w:customStyle="1" w:styleId="CM5">
    <w:name w:val="CM5"/>
    <w:basedOn w:val="Default"/>
    <w:next w:val="Default"/>
    <w:uiPriority w:val="99"/>
    <w:rsid w:val="00A10C5B"/>
    <w:pPr>
      <w:spacing w:line="243" w:lineRule="atLeast"/>
    </w:pPr>
    <w:rPr>
      <w:color w:val="auto"/>
    </w:rPr>
  </w:style>
  <w:style w:type="table" w:styleId="TableGrid">
    <w:name w:val="Table Grid"/>
    <w:basedOn w:val="TableNormal"/>
    <w:uiPriority w:val="59"/>
    <w:rsid w:val="002321B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ItemList">
    <w:name w:val="Item List"/>
    <w:basedOn w:val="Normal"/>
    <w:rsid w:val="00B2478F"/>
    <w:pPr>
      <w:spacing w:before="360" w:line="360" w:lineRule="auto"/>
      <w:ind w:left="720" w:hanging="720"/>
      <w:jc w:val="both"/>
    </w:pPr>
    <w:rPr>
      <w:sz w:val="24"/>
    </w:rPr>
  </w:style>
  <w:style w:type="paragraph" w:customStyle="1" w:styleId="subclause">
    <w:name w:val="subclause"/>
    <w:basedOn w:val="Normal"/>
    <w:rsid w:val="006A2639"/>
    <w:pPr>
      <w:spacing w:line="480" w:lineRule="auto"/>
      <w:ind w:left="3600" w:hanging="720"/>
    </w:pPr>
    <w:rPr>
      <w:sz w:val="24"/>
    </w:rPr>
  </w:style>
  <w:style w:type="paragraph" w:customStyle="1" w:styleId="subparagraph">
    <w:name w:val="subparagraph"/>
    <w:basedOn w:val="Normal"/>
    <w:rsid w:val="006A2639"/>
    <w:pPr>
      <w:spacing w:line="480" w:lineRule="auto"/>
      <w:ind w:left="2160" w:hanging="720"/>
    </w:pPr>
    <w:rPr>
      <w:sz w:val="24"/>
    </w:rPr>
  </w:style>
  <w:style w:type="paragraph" w:customStyle="1" w:styleId="SRaChar">
    <w:name w:val="SR(a) Char"/>
    <w:basedOn w:val="Normal"/>
    <w:rsid w:val="006A2639"/>
    <w:pPr>
      <w:tabs>
        <w:tab w:val="left" w:pos="360"/>
        <w:tab w:val="left" w:pos="720"/>
        <w:tab w:val="left" w:pos="1872"/>
        <w:tab w:val="left" w:pos="2495"/>
        <w:tab w:val="left" w:pos="3071"/>
        <w:tab w:val="left" w:pos="3647"/>
        <w:tab w:val="left" w:pos="8910"/>
      </w:tabs>
      <w:spacing w:before="240"/>
      <w:ind w:left="720" w:hanging="446"/>
      <w:jc w:val="both"/>
    </w:pPr>
    <w:rPr>
      <w:rFonts w:ascii="Tms Rmn" w:eastAsia="MS Mincho" w:hAnsi="Tms Rmn"/>
    </w:rPr>
  </w:style>
  <w:style w:type="character" w:customStyle="1" w:styleId="HeaderChar">
    <w:name w:val="Header Char"/>
    <w:basedOn w:val="DefaultParagraphFont"/>
    <w:link w:val="Header"/>
    <w:uiPriority w:val="99"/>
    <w:rsid w:val="008F3764"/>
  </w:style>
  <w:style w:type="character" w:styleId="CommentReference">
    <w:name w:val="annotation reference"/>
    <w:basedOn w:val="DefaultParagraphFont"/>
    <w:rsid w:val="004A5AAA"/>
    <w:rPr>
      <w:sz w:val="16"/>
      <w:szCs w:val="16"/>
    </w:rPr>
  </w:style>
  <w:style w:type="paragraph" w:styleId="CommentText">
    <w:name w:val="annotation text"/>
    <w:basedOn w:val="Normal"/>
    <w:link w:val="CommentTextChar"/>
    <w:rsid w:val="004A5AAA"/>
  </w:style>
  <w:style w:type="character" w:customStyle="1" w:styleId="CommentTextChar">
    <w:name w:val="Comment Text Char"/>
    <w:basedOn w:val="DefaultParagraphFont"/>
    <w:link w:val="CommentText"/>
    <w:rsid w:val="004A5AAA"/>
  </w:style>
  <w:style w:type="paragraph" w:styleId="CommentSubject">
    <w:name w:val="annotation subject"/>
    <w:basedOn w:val="CommentText"/>
    <w:next w:val="CommentText"/>
    <w:link w:val="CommentSubjectChar"/>
    <w:rsid w:val="004A5AAA"/>
    <w:rPr>
      <w:b/>
      <w:bCs/>
    </w:rPr>
  </w:style>
  <w:style w:type="character" w:customStyle="1" w:styleId="CommentSubjectChar">
    <w:name w:val="Comment Subject Char"/>
    <w:basedOn w:val="CommentTextChar"/>
    <w:link w:val="CommentSubject"/>
    <w:rsid w:val="004A5AAA"/>
    <w:rPr>
      <w:b/>
      <w:bCs/>
    </w:rPr>
  </w:style>
  <w:style w:type="paragraph" w:styleId="Quote">
    <w:name w:val="Quote"/>
    <w:basedOn w:val="Normal"/>
    <w:next w:val="Normal"/>
    <w:link w:val="QuoteChar"/>
    <w:uiPriority w:val="29"/>
    <w:qFormat/>
    <w:rsid w:val="00D01E95"/>
    <w:rPr>
      <w:i/>
      <w:iCs/>
      <w:color w:val="000000" w:themeColor="text1"/>
    </w:rPr>
  </w:style>
  <w:style w:type="character" w:customStyle="1" w:styleId="QuoteChar">
    <w:name w:val="Quote Char"/>
    <w:basedOn w:val="DefaultParagraphFont"/>
    <w:link w:val="Quote"/>
    <w:uiPriority w:val="29"/>
    <w:rsid w:val="00D01E95"/>
    <w:rPr>
      <w:i/>
      <w:iCs/>
      <w:color w:val="000000" w:themeColor="text1"/>
    </w:rPr>
  </w:style>
  <w:style w:type="character" w:customStyle="1" w:styleId="FooterChar">
    <w:name w:val="Footer Char"/>
    <w:basedOn w:val="DefaultParagraphFont"/>
    <w:link w:val="Footer"/>
    <w:uiPriority w:val="99"/>
    <w:rsid w:val="002D0161"/>
  </w:style>
  <w:style w:type="paragraph" w:styleId="Revision">
    <w:name w:val="Revision"/>
    <w:hidden/>
    <w:uiPriority w:val="99"/>
    <w:semiHidden/>
    <w:rsid w:val="00082362"/>
  </w:style>
  <w:style w:type="paragraph" w:styleId="TOCHeading">
    <w:name w:val="TOC Heading"/>
    <w:basedOn w:val="Heading1"/>
    <w:next w:val="Normal"/>
    <w:uiPriority w:val="39"/>
    <w:unhideWhenUsed/>
    <w:qFormat/>
    <w:rsid w:val="00EB027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lang w:eastAsia="ja-JP"/>
    </w:rPr>
  </w:style>
  <w:style w:type="paragraph" w:styleId="TOC2">
    <w:name w:val="toc 2"/>
    <w:basedOn w:val="Normal"/>
    <w:next w:val="Normal"/>
    <w:autoRedefine/>
    <w:uiPriority w:val="39"/>
    <w:unhideWhenUsed/>
    <w:qFormat/>
    <w:rsid w:val="00E726B4"/>
    <w:pPr>
      <w:suppressLineNumbers/>
      <w:tabs>
        <w:tab w:val="left" w:pos="660"/>
        <w:tab w:val="right" w:leader="dot" w:pos="9350"/>
      </w:tabs>
      <w:spacing w:after="100" w:line="276" w:lineRule="auto"/>
      <w:ind w:left="220"/>
    </w:pPr>
    <w:rPr>
      <w:rFonts w:asciiTheme="minorHAnsi" w:eastAsiaTheme="minorEastAsia" w:hAnsiTheme="minorHAnsi" w:cstheme="minorBidi"/>
      <w:sz w:val="22"/>
      <w:szCs w:val="22"/>
      <w:lang w:eastAsia="ja-JP"/>
    </w:rPr>
  </w:style>
  <w:style w:type="paragraph" w:styleId="TOC3">
    <w:name w:val="toc 3"/>
    <w:basedOn w:val="Normal"/>
    <w:next w:val="Normal"/>
    <w:autoRedefine/>
    <w:uiPriority w:val="39"/>
    <w:unhideWhenUsed/>
    <w:qFormat/>
    <w:rsid w:val="00EB027F"/>
    <w:pPr>
      <w:spacing w:after="100" w:line="276" w:lineRule="auto"/>
      <w:ind w:left="440"/>
    </w:pPr>
    <w:rPr>
      <w:rFonts w:asciiTheme="minorHAnsi" w:eastAsiaTheme="minorEastAsia" w:hAnsiTheme="minorHAnsi" w:cstheme="minorBidi"/>
      <w:sz w:val="22"/>
      <w:szCs w:val="22"/>
      <w:lang w:eastAsia="ja-JP"/>
    </w:rPr>
  </w:style>
  <w:style w:type="paragraph" w:customStyle="1" w:styleId="FOFNumbered">
    <w:name w:val="FOF Numbered"/>
    <w:basedOn w:val="Normal"/>
    <w:link w:val="FOFNumberedChar"/>
    <w:qFormat/>
    <w:rsid w:val="00466044"/>
    <w:pPr>
      <w:numPr>
        <w:numId w:val="4"/>
      </w:numPr>
      <w:spacing w:before="120" w:line="360" w:lineRule="auto"/>
      <w:jc w:val="both"/>
    </w:pPr>
    <w:rPr>
      <w:snapToGrid w:val="0"/>
      <w:sz w:val="24"/>
    </w:rPr>
  </w:style>
  <w:style w:type="paragraph" w:customStyle="1" w:styleId="FOFCOL">
    <w:name w:val="FOF/COL"/>
    <w:basedOn w:val="BodyText"/>
    <w:rsid w:val="000B49FA"/>
    <w:pPr>
      <w:spacing w:before="120" w:line="360" w:lineRule="auto"/>
      <w:ind w:left="720" w:hanging="720"/>
      <w:jc w:val="both"/>
    </w:pPr>
    <w:rPr>
      <w:b w:val="0"/>
      <w:snapToGrid w:val="0"/>
    </w:rPr>
  </w:style>
  <w:style w:type="character" w:styleId="PlaceholderText">
    <w:name w:val="Placeholder Text"/>
    <w:basedOn w:val="DefaultParagraphFont"/>
    <w:uiPriority w:val="99"/>
    <w:semiHidden/>
    <w:rsid w:val="00191926"/>
    <w:rPr>
      <w:color w:val="808080"/>
    </w:rPr>
  </w:style>
  <w:style w:type="table" w:styleId="TableColumns1">
    <w:name w:val="Table Columns 1"/>
    <w:basedOn w:val="TableNormal"/>
    <w:rsid w:val="001A726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Emphasis">
    <w:name w:val="Emphasis"/>
    <w:basedOn w:val="DefaultParagraphFont"/>
    <w:qFormat/>
    <w:rsid w:val="00AB2E70"/>
    <w:rPr>
      <w:i/>
      <w:iCs/>
    </w:rPr>
  </w:style>
  <w:style w:type="character" w:customStyle="1" w:styleId="BodyTextIndent2Char">
    <w:name w:val="Body Text Indent 2 Char"/>
    <w:link w:val="BodyTextIndent2"/>
    <w:rsid w:val="00637BF5"/>
    <w:rPr>
      <w:sz w:val="24"/>
    </w:rPr>
  </w:style>
  <w:style w:type="character" w:customStyle="1" w:styleId="Heading1Char">
    <w:name w:val="Heading 1 Char"/>
    <w:basedOn w:val="DefaultParagraphFont"/>
    <w:link w:val="Heading1"/>
    <w:rsid w:val="002A79A5"/>
    <w:rPr>
      <w:b/>
    </w:rPr>
  </w:style>
  <w:style w:type="character" w:customStyle="1" w:styleId="Heading2Char">
    <w:name w:val="Heading 2 Char"/>
    <w:basedOn w:val="DefaultParagraphFont"/>
    <w:link w:val="Heading2"/>
    <w:rsid w:val="002A79A5"/>
    <w:rPr>
      <w:b/>
      <w:sz w:val="24"/>
    </w:rPr>
  </w:style>
  <w:style w:type="paragraph" w:customStyle="1" w:styleId="COLNumbered">
    <w:name w:val="COL Numbered"/>
    <w:basedOn w:val="FOFNumbered"/>
    <w:rsid w:val="00800D85"/>
    <w:pPr>
      <w:numPr>
        <w:numId w:val="0"/>
      </w:numPr>
      <w:tabs>
        <w:tab w:val="num" w:pos="360"/>
      </w:tabs>
    </w:pPr>
  </w:style>
  <w:style w:type="paragraph" w:customStyle="1" w:styleId="OrderingNumbered">
    <w:name w:val="Ordering Numbered"/>
    <w:basedOn w:val="FOFNumbered"/>
    <w:rsid w:val="00800D85"/>
    <w:pPr>
      <w:numPr>
        <w:numId w:val="0"/>
      </w:numPr>
      <w:tabs>
        <w:tab w:val="num" w:pos="360"/>
      </w:tabs>
    </w:pPr>
  </w:style>
  <w:style w:type="character" w:customStyle="1" w:styleId="FOFNumberedChar">
    <w:name w:val="FOF Numbered Char"/>
    <w:link w:val="FOFNumbered"/>
    <w:rsid w:val="003B1080"/>
    <w:rPr>
      <w:snapToGrid w:val="0"/>
      <w:sz w:val="24"/>
    </w:rPr>
  </w:style>
  <w:style w:type="paragraph" w:styleId="PlainText">
    <w:name w:val="Plain Text"/>
    <w:basedOn w:val="Normal"/>
    <w:link w:val="PlainTextChar"/>
    <w:uiPriority w:val="99"/>
    <w:rsid w:val="001B6F38"/>
    <w:rPr>
      <w:rFonts w:ascii="Courier New" w:hAnsi="Courier New"/>
    </w:rPr>
  </w:style>
  <w:style w:type="character" w:customStyle="1" w:styleId="PlainTextChar">
    <w:name w:val="Plain Text Char"/>
    <w:basedOn w:val="DefaultParagraphFont"/>
    <w:link w:val="PlainText"/>
    <w:uiPriority w:val="99"/>
    <w:rsid w:val="001B6F38"/>
    <w:rPr>
      <w:rFonts w:ascii="Courier New" w:hAnsi="Courier New"/>
    </w:rPr>
  </w:style>
  <w:style w:type="paragraph" w:customStyle="1" w:styleId="IssueList">
    <w:name w:val="Issue List"/>
    <w:basedOn w:val="Normal"/>
    <w:qFormat/>
    <w:rsid w:val="00930BC8"/>
    <w:pPr>
      <w:numPr>
        <w:numId w:val="13"/>
      </w:numPr>
      <w:snapToGrid w:val="0"/>
      <w:spacing w:before="120" w:line="360" w:lineRule="auto"/>
      <w:jc w:val="both"/>
    </w:pPr>
    <w:rPr>
      <w:sz w:val="24"/>
    </w:rPr>
  </w:style>
  <w:style w:type="paragraph" w:customStyle="1" w:styleId="Issuesublist">
    <w:name w:val="Issue sub list"/>
    <w:basedOn w:val="Normal"/>
    <w:qFormat/>
    <w:rsid w:val="00930BC8"/>
    <w:pPr>
      <w:numPr>
        <w:ilvl w:val="1"/>
        <w:numId w:val="13"/>
      </w:numPr>
      <w:spacing w:after="120" w:line="360" w:lineRule="auto"/>
      <w:jc w:val="both"/>
    </w:pPr>
    <w:rPr>
      <w:sz w:val="24"/>
    </w:rPr>
  </w:style>
  <w:style w:type="paragraph" w:customStyle="1" w:styleId="Issuesub2list">
    <w:name w:val="Issue sub2 list"/>
    <w:basedOn w:val="Normal"/>
    <w:qFormat/>
    <w:rsid w:val="00930BC8"/>
    <w:pPr>
      <w:numPr>
        <w:ilvl w:val="2"/>
        <w:numId w:val="13"/>
      </w:numPr>
      <w:spacing w:after="120" w:line="360" w:lineRule="auto"/>
      <w:jc w:val="both"/>
    </w:pPr>
    <w:rPr>
      <w:sz w:val="24"/>
    </w:rPr>
  </w:style>
  <w:style w:type="character" w:customStyle="1" w:styleId="Heading3Char">
    <w:name w:val="Heading 3 Char"/>
    <w:basedOn w:val="DefaultParagraphFont"/>
    <w:link w:val="Heading3"/>
    <w:rsid w:val="0093727D"/>
    <w:rPr>
      <w:b/>
      <w:sz w:val="24"/>
    </w:rPr>
  </w:style>
  <w:style w:type="character" w:customStyle="1" w:styleId="Citationfor111Char">
    <w:name w:val="Citation for 1.1.1 Char"/>
    <w:basedOn w:val="DefaultParagraphFont"/>
    <w:link w:val="Citationfor111"/>
    <w:locked/>
    <w:rsid w:val="00F733C4"/>
  </w:style>
  <w:style w:type="paragraph" w:customStyle="1" w:styleId="Citationfor111">
    <w:name w:val="Citation for 1.1.1"/>
    <w:basedOn w:val="Normal"/>
    <w:link w:val="Citationfor111Char"/>
    <w:qFormat/>
    <w:rsid w:val="00F733C4"/>
    <w:pPr>
      <w:spacing w:before="60" w:after="60"/>
      <w:ind w:left="1872" w:right="1872"/>
      <w:jc w:val="both"/>
    </w:pPr>
  </w:style>
  <w:style w:type="character" w:customStyle="1" w:styleId="BodyTextChar">
    <w:name w:val="Body Text Char"/>
    <w:basedOn w:val="DefaultParagraphFont"/>
    <w:link w:val="BodyText"/>
    <w:rsid w:val="00D462A1"/>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35966">
      <w:bodyDiv w:val="1"/>
      <w:marLeft w:val="0"/>
      <w:marRight w:val="0"/>
      <w:marTop w:val="0"/>
      <w:marBottom w:val="0"/>
      <w:divBdr>
        <w:top w:val="none" w:sz="0" w:space="0" w:color="auto"/>
        <w:left w:val="none" w:sz="0" w:space="0" w:color="auto"/>
        <w:bottom w:val="none" w:sz="0" w:space="0" w:color="auto"/>
        <w:right w:val="none" w:sz="0" w:space="0" w:color="auto"/>
      </w:divBdr>
    </w:div>
    <w:div w:id="101192567">
      <w:bodyDiv w:val="1"/>
      <w:marLeft w:val="0"/>
      <w:marRight w:val="0"/>
      <w:marTop w:val="0"/>
      <w:marBottom w:val="0"/>
      <w:divBdr>
        <w:top w:val="none" w:sz="0" w:space="0" w:color="auto"/>
        <w:left w:val="none" w:sz="0" w:space="0" w:color="auto"/>
        <w:bottom w:val="none" w:sz="0" w:space="0" w:color="auto"/>
        <w:right w:val="none" w:sz="0" w:space="0" w:color="auto"/>
      </w:divBdr>
    </w:div>
    <w:div w:id="280111921">
      <w:bodyDiv w:val="1"/>
      <w:marLeft w:val="0"/>
      <w:marRight w:val="0"/>
      <w:marTop w:val="0"/>
      <w:marBottom w:val="0"/>
      <w:divBdr>
        <w:top w:val="none" w:sz="0" w:space="0" w:color="auto"/>
        <w:left w:val="none" w:sz="0" w:space="0" w:color="auto"/>
        <w:bottom w:val="none" w:sz="0" w:space="0" w:color="auto"/>
        <w:right w:val="none" w:sz="0" w:space="0" w:color="auto"/>
      </w:divBdr>
    </w:div>
    <w:div w:id="302975400">
      <w:bodyDiv w:val="1"/>
      <w:marLeft w:val="0"/>
      <w:marRight w:val="0"/>
      <w:marTop w:val="0"/>
      <w:marBottom w:val="0"/>
      <w:divBdr>
        <w:top w:val="none" w:sz="0" w:space="0" w:color="auto"/>
        <w:left w:val="none" w:sz="0" w:space="0" w:color="auto"/>
        <w:bottom w:val="none" w:sz="0" w:space="0" w:color="auto"/>
        <w:right w:val="none" w:sz="0" w:space="0" w:color="auto"/>
      </w:divBdr>
    </w:div>
    <w:div w:id="349571194">
      <w:bodyDiv w:val="1"/>
      <w:marLeft w:val="0"/>
      <w:marRight w:val="0"/>
      <w:marTop w:val="0"/>
      <w:marBottom w:val="0"/>
      <w:divBdr>
        <w:top w:val="none" w:sz="0" w:space="0" w:color="auto"/>
        <w:left w:val="none" w:sz="0" w:space="0" w:color="auto"/>
        <w:bottom w:val="none" w:sz="0" w:space="0" w:color="auto"/>
        <w:right w:val="none" w:sz="0" w:space="0" w:color="auto"/>
      </w:divBdr>
    </w:div>
    <w:div w:id="393046949">
      <w:bodyDiv w:val="1"/>
      <w:marLeft w:val="0"/>
      <w:marRight w:val="0"/>
      <w:marTop w:val="0"/>
      <w:marBottom w:val="0"/>
      <w:divBdr>
        <w:top w:val="none" w:sz="0" w:space="0" w:color="auto"/>
        <w:left w:val="none" w:sz="0" w:space="0" w:color="auto"/>
        <w:bottom w:val="none" w:sz="0" w:space="0" w:color="auto"/>
        <w:right w:val="none" w:sz="0" w:space="0" w:color="auto"/>
      </w:divBdr>
    </w:div>
    <w:div w:id="606548420">
      <w:bodyDiv w:val="1"/>
      <w:marLeft w:val="0"/>
      <w:marRight w:val="0"/>
      <w:marTop w:val="0"/>
      <w:marBottom w:val="0"/>
      <w:divBdr>
        <w:top w:val="none" w:sz="0" w:space="0" w:color="auto"/>
        <w:left w:val="none" w:sz="0" w:space="0" w:color="auto"/>
        <w:bottom w:val="none" w:sz="0" w:space="0" w:color="auto"/>
        <w:right w:val="none" w:sz="0" w:space="0" w:color="auto"/>
      </w:divBdr>
    </w:div>
    <w:div w:id="641230884">
      <w:bodyDiv w:val="1"/>
      <w:marLeft w:val="0"/>
      <w:marRight w:val="0"/>
      <w:marTop w:val="0"/>
      <w:marBottom w:val="0"/>
      <w:divBdr>
        <w:top w:val="none" w:sz="0" w:space="0" w:color="auto"/>
        <w:left w:val="none" w:sz="0" w:space="0" w:color="auto"/>
        <w:bottom w:val="none" w:sz="0" w:space="0" w:color="auto"/>
        <w:right w:val="none" w:sz="0" w:space="0" w:color="auto"/>
      </w:divBdr>
    </w:div>
    <w:div w:id="744113003">
      <w:bodyDiv w:val="1"/>
      <w:marLeft w:val="0"/>
      <w:marRight w:val="0"/>
      <w:marTop w:val="0"/>
      <w:marBottom w:val="0"/>
      <w:divBdr>
        <w:top w:val="none" w:sz="0" w:space="0" w:color="auto"/>
        <w:left w:val="none" w:sz="0" w:space="0" w:color="auto"/>
        <w:bottom w:val="none" w:sz="0" w:space="0" w:color="auto"/>
        <w:right w:val="none" w:sz="0" w:space="0" w:color="auto"/>
      </w:divBdr>
    </w:div>
    <w:div w:id="853107854">
      <w:bodyDiv w:val="1"/>
      <w:marLeft w:val="0"/>
      <w:marRight w:val="0"/>
      <w:marTop w:val="0"/>
      <w:marBottom w:val="0"/>
      <w:divBdr>
        <w:top w:val="none" w:sz="0" w:space="0" w:color="auto"/>
        <w:left w:val="none" w:sz="0" w:space="0" w:color="auto"/>
        <w:bottom w:val="none" w:sz="0" w:space="0" w:color="auto"/>
        <w:right w:val="none" w:sz="0" w:space="0" w:color="auto"/>
      </w:divBdr>
    </w:div>
    <w:div w:id="858275748">
      <w:bodyDiv w:val="1"/>
      <w:marLeft w:val="0"/>
      <w:marRight w:val="0"/>
      <w:marTop w:val="0"/>
      <w:marBottom w:val="0"/>
      <w:divBdr>
        <w:top w:val="none" w:sz="0" w:space="0" w:color="auto"/>
        <w:left w:val="none" w:sz="0" w:space="0" w:color="auto"/>
        <w:bottom w:val="none" w:sz="0" w:space="0" w:color="auto"/>
        <w:right w:val="none" w:sz="0" w:space="0" w:color="auto"/>
      </w:divBdr>
    </w:div>
    <w:div w:id="918976426">
      <w:bodyDiv w:val="1"/>
      <w:marLeft w:val="0"/>
      <w:marRight w:val="0"/>
      <w:marTop w:val="0"/>
      <w:marBottom w:val="0"/>
      <w:divBdr>
        <w:top w:val="none" w:sz="0" w:space="0" w:color="auto"/>
        <w:left w:val="none" w:sz="0" w:space="0" w:color="auto"/>
        <w:bottom w:val="none" w:sz="0" w:space="0" w:color="auto"/>
        <w:right w:val="none" w:sz="0" w:space="0" w:color="auto"/>
      </w:divBdr>
    </w:div>
    <w:div w:id="998071971">
      <w:bodyDiv w:val="1"/>
      <w:marLeft w:val="0"/>
      <w:marRight w:val="0"/>
      <w:marTop w:val="0"/>
      <w:marBottom w:val="0"/>
      <w:divBdr>
        <w:top w:val="none" w:sz="0" w:space="0" w:color="auto"/>
        <w:left w:val="none" w:sz="0" w:space="0" w:color="auto"/>
        <w:bottom w:val="none" w:sz="0" w:space="0" w:color="auto"/>
        <w:right w:val="none" w:sz="0" w:space="0" w:color="auto"/>
      </w:divBdr>
    </w:div>
    <w:div w:id="1083182122">
      <w:bodyDiv w:val="1"/>
      <w:marLeft w:val="0"/>
      <w:marRight w:val="0"/>
      <w:marTop w:val="0"/>
      <w:marBottom w:val="0"/>
      <w:divBdr>
        <w:top w:val="none" w:sz="0" w:space="0" w:color="auto"/>
        <w:left w:val="none" w:sz="0" w:space="0" w:color="auto"/>
        <w:bottom w:val="none" w:sz="0" w:space="0" w:color="auto"/>
        <w:right w:val="none" w:sz="0" w:space="0" w:color="auto"/>
      </w:divBdr>
      <w:divsChild>
        <w:div w:id="596982567">
          <w:marLeft w:val="0"/>
          <w:marRight w:val="0"/>
          <w:marTop w:val="0"/>
          <w:marBottom w:val="0"/>
          <w:divBdr>
            <w:top w:val="none" w:sz="0" w:space="0" w:color="auto"/>
            <w:left w:val="none" w:sz="0" w:space="0" w:color="auto"/>
            <w:bottom w:val="none" w:sz="0" w:space="0" w:color="auto"/>
            <w:right w:val="none" w:sz="0" w:space="0" w:color="auto"/>
          </w:divBdr>
        </w:div>
        <w:div w:id="1830174354">
          <w:marLeft w:val="0"/>
          <w:marRight w:val="0"/>
          <w:marTop w:val="0"/>
          <w:marBottom w:val="0"/>
          <w:divBdr>
            <w:top w:val="none" w:sz="0" w:space="0" w:color="auto"/>
            <w:left w:val="none" w:sz="0" w:space="0" w:color="auto"/>
            <w:bottom w:val="none" w:sz="0" w:space="0" w:color="auto"/>
            <w:right w:val="none" w:sz="0" w:space="0" w:color="auto"/>
          </w:divBdr>
        </w:div>
        <w:div w:id="1912693557">
          <w:marLeft w:val="0"/>
          <w:marRight w:val="0"/>
          <w:marTop w:val="0"/>
          <w:marBottom w:val="0"/>
          <w:divBdr>
            <w:top w:val="none" w:sz="0" w:space="0" w:color="auto"/>
            <w:left w:val="none" w:sz="0" w:space="0" w:color="auto"/>
            <w:bottom w:val="none" w:sz="0" w:space="0" w:color="auto"/>
            <w:right w:val="none" w:sz="0" w:space="0" w:color="auto"/>
          </w:divBdr>
        </w:div>
        <w:div w:id="56393495">
          <w:marLeft w:val="0"/>
          <w:marRight w:val="0"/>
          <w:marTop w:val="0"/>
          <w:marBottom w:val="0"/>
          <w:divBdr>
            <w:top w:val="none" w:sz="0" w:space="0" w:color="auto"/>
            <w:left w:val="none" w:sz="0" w:space="0" w:color="auto"/>
            <w:bottom w:val="none" w:sz="0" w:space="0" w:color="auto"/>
            <w:right w:val="none" w:sz="0" w:space="0" w:color="auto"/>
          </w:divBdr>
        </w:div>
        <w:div w:id="996297669">
          <w:marLeft w:val="0"/>
          <w:marRight w:val="0"/>
          <w:marTop w:val="0"/>
          <w:marBottom w:val="0"/>
          <w:divBdr>
            <w:top w:val="none" w:sz="0" w:space="0" w:color="auto"/>
            <w:left w:val="none" w:sz="0" w:space="0" w:color="auto"/>
            <w:bottom w:val="none" w:sz="0" w:space="0" w:color="auto"/>
            <w:right w:val="none" w:sz="0" w:space="0" w:color="auto"/>
          </w:divBdr>
        </w:div>
        <w:div w:id="1926651151">
          <w:marLeft w:val="0"/>
          <w:marRight w:val="0"/>
          <w:marTop w:val="0"/>
          <w:marBottom w:val="0"/>
          <w:divBdr>
            <w:top w:val="none" w:sz="0" w:space="0" w:color="auto"/>
            <w:left w:val="none" w:sz="0" w:space="0" w:color="auto"/>
            <w:bottom w:val="none" w:sz="0" w:space="0" w:color="auto"/>
            <w:right w:val="none" w:sz="0" w:space="0" w:color="auto"/>
          </w:divBdr>
        </w:div>
        <w:div w:id="872034944">
          <w:marLeft w:val="0"/>
          <w:marRight w:val="0"/>
          <w:marTop w:val="0"/>
          <w:marBottom w:val="0"/>
          <w:divBdr>
            <w:top w:val="none" w:sz="0" w:space="0" w:color="auto"/>
            <w:left w:val="none" w:sz="0" w:space="0" w:color="auto"/>
            <w:bottom w:val="none" w:sz="0" w:space="0" w:color="auto"/>
            <w:right w:val="none" w:sz="0" w:space="0" w:color="auto"/>
          </w:divBdr>
        </w:div>
        <w:div w:id="1752964533">
          <w:marLeft w:val="0"/>
          <w:marRight w:val="0"/>
          <w:marTop w:val="0"/>
          <w:marBottom w:val="0"/>
          <w:divBdr>
            <w:top w:val="none" w:sz="0" w:space="0" w:color="auto"/>
            <w:left w:val="none" w:sz="0" w:space="0" w:color="auto"/>
            <w:bottom w:val="none" w:sz="0" w:space="0" w:color="auto"/>
            <w:right w:val="none" w:sz="0" w:space="0" w:color="auto"/>
          </w:divBdr>
        </w:div>
      </w:divsChild>
    </w:div>
    <w:div w:id="1161235218">
      <w:bodyDiv w:val="1"/>
      <w:marLeft w:val="0"/>
      <w:marRight w:val="0"/>
      <w:marTop w:val="0"/>
      <w:marBottom w:val="0"/>
      <w:divBdr>
        <w:top w:val="none" w:sz="0" w:space="0" w:color="auto"/>
        <w:left w:val="none" w:sz="0" w:space="0" w:color="auto"/>
        <w:bottom w:val="none" w:sz="0" w:space="0" w:color="auto"/>
        <w:right w:val="none" w:sz="0" w:space="0" w:color="auto"/>
      </w:divBdr>
    </w:div>
    <w:div w:id="1168179930">
      <w:bodyDiv w:val="1"/>
      <w:marLeft w:val="0"/>
      <w:marRight w:val="0"/>
      <w:marTop w:val="0"/>
      <w:marBottom w:val="0"/>
      <w:divBdr>
        <w:top w:val="none" w:sz="0" w:space="0" w:color="auto"/>
        <w:left w:val="none" w:sz="0" w:space="0" w:color="auto"/>
        <w:bottom w:val="none" w:sz="0" w:space="0" w:color="auto"/>
        <w:right w:val="none" w:sz="0" w:space="0" w:color="auto"/>
      </w:divBdr>
    </w:div>
    <w:div w:id="1202283496">
      <w:bodyDiv w:val="1"/>
      <w:marLeft w:val="0"/>
      <w:marRight w:val="0"/>
      <w:marTop w:val="0"/>
      <w:marBottom w:val="0"/>
      <w:divBdr>
        <w:top w:val="none" w:sz="0" w:space="0" w:color="auto"/>
        <w:left w:val="none" w:sz="0" w:space="0" w:color="auto"/>
        <w:bottom w:val="none" w:sz="0" w:space="0" w:color="auto"/>
        <w:right w:val="none" w:sz="0" w:space="0" w:color="auto"/>
      </w:divBdr>
    </w:div>
    <w:div w:id="1322541569">
      <w:bodyDiv w:val="1"/>
      <w:marLeft w:val="0"/>
      <w:marRight w:val="0"/>
      <w:marTop w:val="0"/>
      <w:marBottom w:val="0"/>
      <w:divBdr>
        <w:top w:val="none" w:sz="0" w:space="0" w:color="auto"/>
        <w:left w:val="none" w:sz="0" w:space="0" w:color="auto"/>
        <w:bottom w:val="none" w:sz="0" w:space="0" w:color="auto"/>
        <w:right w:val="none" w:sz="0" w:space="0" w:color="auto"/>
      </w:divBdr>
    </w:div>
    <w:div w:id="1348560587">
      <w:bodyDiv w:val="1"/>
      <w:marLeft w:val="0"/>
      <w:marRight w:val="0"/>
      <w:marTop w:val="0"/>
      <w:marBottom w:val="0"/>
      <w:divBdr>
        <w:top w:val="none" w:sz="0" w:space="0" w:color="auto"/>
        <w:left w:val="none" w:sz="0" w:space="0" w:color="auto"/>
        <w:bottom w:val="none" w:sz="0" w:space="0" w:color="auto"/>
        <w:right w:val="none" w:sz="0" w:space="0" w:color="auto"/>
      </w:divBdr>
    </w:div>
    <w:div w:id="1402408210">
      <w:bodyDiv w:val="1"/>
      <w:marLeft w:val="0"/>
      <w:marRight w:val="0"/>
      <w:marTop w:val="0"/>
      <w:marBottom w:val="0"/>
      <w:divBdr>
        <w:top w:val="none" w:sz="0" w:space="0" w:color="auto"/>
        <w:left w:val="none" w:sz="0" w:space="0" w:color="auto"/>
        <w:bottom w:val="none" w:sz="0" w:space="0" w:color="auto"/>
        <w:right w:val="none" w:sz="0" w:space="0" w:color="auto"/>
      </w:divBdr>
    </w:div>
    <w:div w:id="1649285473">
      <w:bodyDiv w:val="1"/>
      <w:marLeft w:val="0"/>
      <w:marRight w:val="0"/>
      <w:marTop w:val="0"/>
      <w:marBottom w:val="0"/>
      <w:divBdr>
        <w:top w:val="none" w:sz="0" w:space="0" w:color="auto"/>
        <w:left w:val="none" w:sz="0" w:space="0" w:color="auto"/>
        <w:bottom w:val="none" w:sz="0" w:space="0" w:color="auto"/>
        <w:right w:val="none" w:sz="0" w:space="0" w:color="auto"/>
      </w:divBdr>
    </w:div>
    <w:div w:id="1940063986">
      <w:bodyDiv w:val="1"/>
      <w:marLeft w:val="0"/>
      <w:marRight w:val="0"/>
      <w:marTop w:val="0"/>
      <w:marBottom w:val="0"/>
      <w:divBdr>
        <w:top w:val="none" w:sz="0" w:space="0" w:color="auto"/>
        <w:left w:val="none" w:sz="0" w:space="0" w:color="auto"/>
        <w:bottom w:val="none" w:sz="0" w:space="0" w:color="auto"/>
        <w:right w:val="none" w:sz="0" w:space="0" w:color="auto"/>
      </w:divBdr>
    </w:div>
    <w:div w:id="1949774952">
      <w:bodyDiv w:val="1"/>
      <w:marLeft w:val="0"/>
      <w:marRight w:val="0"/>
      <w:marTop w:val="0"/>
      <w:marBottom w:val="0"/>
      <w:divBdr>
        <w:top w:val="none" w:sz="0" w:space="0" w:color="auto"/>
        <w:left w:val="none" w:sz="0" w:space="0" w:color="auto"/>
        <w:bottom w:val="none" w:sz="0" w:space="0" w:color="auto"/>
        <w:right w:val="none" w:sz="0" w:space="0" w:color="auto"/>
      </w:divBdr>
    </w:div>
    <w:div w:id="2029329667">
      <w:bodyDiv w:val="1"/>
      <w:marLeft w:val="0"/>
      <w:marRight w:val="0"/>
      <w:marTop w:val="0"/>
      <w:marBottom w:val="0"/>
      <w:divBdr>
        <w:top w:val="none" w:sz="0" w:space="0" w:color="auto"/>
        <w:left w:val="none" w:sz="0" w:space="0" w:color="auto"/>
        <w:bottom w:val="none" w:sz="0" w:space="0" w:color="auto"/>
        <w:right w:val="none" w:sz="0" w:space="0" w:color="auto"/>
      </w:divBdr>
    </w:div>
    <w:div w:id="2042779067">
      <w:bodyDiv w:val="1"/>
      <w:marLeft w:val="0"/>
      <w:marRight w:val="0"/>
      <w:marTop w:val="0"/>
      <w:marBottom w:val="0"/>
      <w:divBdr>
        <w:top w:val="none" w:sz="0" w:space="0" w:color="auto"/>
        <w:left w:val="none" w:sz="0" w:space="0" w:color="auto"/>
        <w:bottom w:val="none" w:sz="0" w:space="0" w:color="auto"/>
        <w:right w:val="none" w:sz="0" w:space="0" w:color="auto"/>
      </w:divBdr>
    </w:div>
    <w:div w:id="2085640062">
      <w:bodyDiv w:val="1"/>
      <w:marLeft w:val="0"/>
      <w:marRight w:val="0"/>
      <w:marTop w:val="0"/>
      <w:marBottom w:val="0"/>
      <w:divBdr>
        <w:top w:val="none" w:sz="0" w:space="0" w:color="auto"/>
        <w:left w:val="none" w:sz="0" w:space="0" w:color="auto"/>
        <w:bottom w:val="none" w:sz="0" w:space="0" w:color="auto"/>
        <w:right w:val="none" w:sz="0" w:space="0" w:color="auto"/>
      </w:divBdr>
    </w:div>
    <w:div w:id="210233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5C0D3-2D3B-4C58-BC88-BEBD53C64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11260</Words>
  <Characters>64187</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75297</CharactersWithSpaces>
  <SharedDoc>false</SharedDoc>
  <HLinks>
    <vt:vector size="24" baseType="variant">
      <vt:variant>
        <vt:i4>1048631</vt:i4>
      </vt:variant>
      <vt:variant>
        <vt:i4>23</vt:i4>
      </vt:variant>
      <vt:variant>
        <vt:i4>0</vt:i4>
      </vt:variant>
      <vt:variant>
        <vt:i4>5</vt:i4>
      </vt:variant>
      <vt:variant>
        <vt:lpwstr/>
      </vt:variant>
      <vt:variant>
        <vt:lpwstr>_Toc15351344</vt:lpwstr>
      </vt:variant>
      <vt:variant>
        <vt:i4>1507383</vt:i4>
      </vt:variant>
      <vt:variant>
        <vt:i4>17</vt:i4>
      </vt:variant>
      <vt:variant>
        <vt:i4>0</vt:i4>
      </vt:variant>
      <vt:variant>
        <vt:i4>5</vt:i4>
      </vt:variant>
      <vt:variant>
        <vt:lpwstr/>
      </vt:variant>
      <vt:variant>
        <vt:lpwstr>_Toc15351343</vt:lpwstr>
      </vt:variant>
      <vt:variant>
        <vt:i4>1441847</vt:i4>
      </vt:variant>
      <vt:variant>
        <vt:i4>11</vt:i4>
      </vt:variant>
      <vt:variant>
        <vt:i4>0</vt:i4>
      </vt:variant>
      <vt:variant>
        <vt:i4>5</vt:i4>
      </vt:variant>
      <vt:variant>
        <vt:lpwstr/>
      </vt:variant>
      <vt:variant>
        <vt:lpwstr>_Toc15351342</vt:lpwstr>
      </vt:variant>
      <vt:variant>
        <vt:i4>1376311</vt:i4>
      </vt:variant>
      <vt:variant>
        <vt:i4>5</vt:i4>
      </vt:variant>
      <vt:variant>
        <vt:i4>0</vt:i4>
      </vt:variant>
      <vt:variant>
        <vt:i4>5</vt:i4>
      </vt:variant>
      <vt:variant>
        <vt:lpwstr/>
      </vt:variant>
      <vt:variant>
        <vt:lpwstr>_Toc15351341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2019-06-19T13:51:00Z</dcterms:created>
  <dcterms:modified xsi:type="dcterms:W3CDTF">2019-06-19T14:21:00Z</dcterms:modified>
  <cp:contentStatus/>
</cp:coreProperties>
</file>